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Приложение 5 — Образец на доклад за главните изпълнителни директори</w:t>
      </w:r>
    </w:p>
    <w:p w14:paraId="2202F9A7" w14:textId="77777777">
      <w:r>
        <w:t xml:space="preserve">Резултатите от консултацията на национално равнище (интервюта и фокус групи) следва да бъдат съобщени писмено от главните изпълнителни директори.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Всеки национален доклад следва да </w:t>
      </w:r>
      <w:r>
        <w:rPr>
          <w:b/>
        </w:rPr>
        <w:t xml:space="preserve">обобщава резултатите от всички интервюта и от фокус групата, която сте провели.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rPr>
          <w:b/>
        </w:rPr>
        <w:t xml:space="preserve">Крайният срок</w:t>
      </w:r>
      <w:r>
        <w:t xml:space="preserve"> за представяне на националните обобщаващи доклади е </w:t>
      </w:r>
      <w:r>
        <w:rPr>
          <w:b/>
        </w:rPr>
        <w:t>19</w:t>
      </w:r>
      <w:r>
        <w:rPr>
          <w:b/>
          <w:vertAlign w:val="superscript"/>
        </w:rPr>
        <w:t>декември</w:t>
      </w:r>
      <w:r>
        <w:rPr>
          <w:b/>
        </w:rPr>
        <w:t xml:space="preserve"> 2025 г.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Националните доклади </w:t>
      </w:r>
      <w:r>
        <w:rPr>
          <w:b/>
        </w:rPr>
        <w:t xml:space="preserve">могат да се изготвят на националните езици</w:t>
      </w:r>
      <w:r>
        <w:t xml:space="preserve"> и да се превеждат машинно от екипа на секретариата. Може да се наложи изпълнителните директори да направят допълнителни разяснения.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Всеки национален доклад следва да бъде </w:t>
      </w:r>
      <w:r>
        <w:rPr>
          <w:b/>
        </w:rPr>
        <w:t xml:space="preserve">изготвен в таблица и да следва структурата по-долу.</w:t>
      </w:r>
      <w:r>
        <w:t xml:space="preserve"> Поддържането на обща структура във всичките 14 доклада на държавите членки ще спомогне за обобщаването на резултатите във всички национални доклади.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Дължината на всеки национален доклад следва да бъде </w:t>
      </w:r>
      <w:r>
        <w:rPr>
          <w:b/>
        </w:rPr>
        <w:t xml:space="preserve">около 5—6 страници.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С изпращането на настоящия формуляр Вие се съгласявате, че секретариатът на платформата ще използва информацията в настоящия доклад за дейности и публикации на платформата. Моля, маркирайте всяко съдържание, което сте споделили, което предпочитате да запазите в тайна.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Доклад от консултацията по държави за [наименование на държавата]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Демографска информация</w:t>
            </w:r>
            <w:r>
              <w:t xml:space="preserve"> за деца, участвали във </w:t>
            </w:r>
            <w:r>
              <w:rPr>
                <w:b/>
              </w:rPr>
              <w:t xml:space="preserve">фокус група и</w:t>
            </w:r>
            <w:r>
              <w:t xml:space="preserve"> </w:t>
            </w:r>
            <w:r>
              <w:rPr>
                <w:b/>
              </w:rPr>
              <w:t xml:space="preserve">интервюта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Брой деца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възраст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пол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Уязвим фон</w:t>
            </w:r>
            <w:r>
              <w:t xml:space="preserve"> (изберете всички приложими и въведете номера, ако е известен)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Кои групи са включени (изберете всички приложими групи и посочете номера, ако е известен): етническо или религиозно малцинство, ЛГБТИК+, лица, търсещи убежище, и бежанци, ромска общност, други?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Всички известни преживявания, които са представени в групата: Семейно положение (живеене с двамата родители, живеене с един родител и т.н.), опит от полагане на грижи, деца с увреждания, живеещи в бедност, живеещи с насилие, живеещи в провинцията/живеещи в град, контакт със системата на наказателното правосъдие, млади лица, полагащи грижи, други?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Процесът на консултации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Дата</w:t>
            </w:r>
            <w:r>
              <w:t xml:space="preserve"> на консултацията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Място и място, където</w:t>
            </w:r>
            <w:r>
              <w:t xml:space="preserve"> са се провеждали дейности с деца, например: Онлайн, SOS или SC офис, в читалище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Кой все още присъстваше</w:t>
            </w:r>
            <w:r>
              <w:t xml:space="preserve"> </w:t>
            </w:r>
            <w:r>
              <w:rPr>
                <w:b/>
              </w:rPr>
              <w:t>при</w:t>
            </w:r>
            <w:r>
              <w:t xml:space="preserve"> провеждането на дейностите по консултацията? Например: Чекмедже, трима родители, двама младежки работници.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Продължителност </w:t>
            </w:r>
            <w:r>
              <w:rPr>
                <w:b/>
              </w:rPr>
              <w:t>на</w:t>
            </w:r>
            <w:r>
              <w:t xml:space="preserve"> консултацията (средна)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Психологически наблюдения,</w:t>
            </w:r>
            <w:r>
              <w:t xml:space="preserve"> например когато децата говорят по дадена тема с ентусиазъм, гняв или тъга, колко лесно/трудно и колко много трябва да кажат децата по определени въпроси.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Основни констатации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Опишете </w:t>
            </w:r>
            <w:r>
              <w:rPr>
                <w:b/>
              </w:rPr>
              <w:t xml:space="preserve">какво са казали децата за всеки въпрос от консултацията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Запишете </w:t>
            </w:r>
            <w:r>
              <w:rPr>
                <w:b/>
              </w:rPr>
              <w:t xml:space="preserve">степента на съгласие/несъгласие между децата,</w:t>
            </w:r>
            <w:r>
              <w:t xml:space="preserve"> например дали мненията обикновено се споделят от всички/повечето/някои участващи деца и дали има случаи, в които мненията се споделят.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Обърнете внимание дали </w:t>
            </w:r>
            <w:r>
              <w:rPr>
                <w:b/>
              </w:rPr>
              <w:t xml:space="preserve">децата от определени групи имат специфични възгледи по определени аспекти, например по-големите деца смятат,</w:t>
            </w:r>
            <w:r>
              <w:t xml:space="preserve"> че... докато по-малките деца са по-оптимистични..., децата с опит в грижите имат различни възгледи от другите деца...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Ако искате да включите </w:t>
            </w:r>
            <w:r>
              <w:rPr>
                <w:b/>
              </w:rPr>
              <w:t>цитати</w:t>
            </w:r>
            <w:r>
              <w:t xml:space="preserve"> за определени аспекти, които се разглеждат от децата, моля, обърнете внимание на пола и възрастта на детето, например 14-годишно момиче, което...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Основни заключения и препоръки</w:t>
            </w:r>
          </w:p>
        </w:tc>
        <w:tc>
          <w:tcPr>
            <w:tcW w:w="918" w:type="pct"/>
          </w:tcPr>
          <w:p w14:paraId="6B34D6B8" w14:textId="77777777">
            <w:r>
              <w:t xml:space="preserve">Запишете 2-3 важни заключения и препоръки на децата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Обратна връзка от деца</w:t>
            </w:r>
          </w:p>
        </w:tc>
        <w:tc>
          <w:tcPr>
            <w:tcW w:w="918" w:type="pct"/>
          </w:tcPr>
          <w:p w14:paraId="526BB18D" w14:textId="77777777">
            <w:r>
              <w:t xml:space="preserve">Опишете използвания метод за обратна връзка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Целева група: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Интервюта: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Доклад Обобщение на резултатите за всеки въпрос за обратна връзка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bg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47967-F1C6-4712-A1B1-C20A54E66023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