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3 priedas Sutikimo dėl konsultacijų su vaikais forma</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Sutikimo forma vaikams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Dalyvavimas pokalbiuose ir tikslinėse grupėse</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Sveikas atvykęs!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Bendradarbiaujame su Vaikų dalyvavimo platforma (toliau – Platforma), kuri yra saugi vieta visiems vaikams dalytis su sprendimus priimančiais asmenimis tuo, ką jie mano apie svarbius klausimus, darančius poveikį jų gyvenimui. Ši platforma bus sukurta glaudžiai bendradarbiaujant su Europos Komisija.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Šią sutikimo formą pateiksime Jums, nes norėtume pakviesti Jus dalyvauti Platformos organizuojamoje konsultacijų veikloje.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Prieš jums nuspręsti, svarbu, kad jūs žinote, ką konsultacijos yra visa informacija apie ir ką jūsų dalyvavimas ir indėlis yra.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Bendras platformos veiklos aprašymas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Platforma siūlo rimtą ir įdomią interaktyvią veiklą vaikams, kad jie galėtų dalytis savo nuomonėmis, idėjomis ir patirtimi jiems rūpimomis temomis. Tai galėtų apimti atsakymus į apklausas, dalyvavimą pokalbiuose ir tikslinių grupių diskusijose, dalyvavimą apklausose, dalijimąsi brėžiniais ar istorijomis ir kt. Dalyvavimas yra savanoriškas ir vaikas / jaunuolis gali bet kuriuo metu nutraukti dalyvavimą.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Dėl ko vyksta konsultacijos? </w:t>
      </w:r>
    </w:p>
    <w:p w14:paraId="690191F4" w14:textId="77777777">
      <w:pPr>
        <w:spacing w:after="0"/>
        <w:jc w:val="both"/>
        <w:rPr>
          <w:rFonts w:ascii="Arial" w:hAnsi="Arial" w:cs="Arial"/>
        </w:rPr>
      </w:pPr>
    </w:p>
    <w:p w14:paraId="10338ADF" w14:textId="43779C34">
      <w:pPr>
        <w:pStyle w:val="P68B1DB1-Normal2"/>
      </w:pPr>
      <w:r>
        <w:t xml:space="preserve">Konsultacijos – tai procesas, kurio metu suaugęs asmuo užduoda jums klausimų, kad galėtų daugiau sužinoti apie jūsų nuomonę ir patirtį, susijusią su politiniu klausimu, kurį Europos Sąjunga stengiasi išspręsti. Šiais metais platformos konsultacijose daugiausia dėmesio bus skiriama </w:t>
      </w:r>
      <w:r>
        <w:rPr>
          <w:u w:val="single"/>
        </w:rPr>
        <w:t xml:space="preserve">Europos vaiko garantijų sistemai.</w:t>
      </w:r>
      <w:r>
        <w:t xml:space="preserve"> </w:t>
      </w:r>
    </w:p>
    <w:p w14:paraId="4DEE4EB8" w14:textId="5D0D1A63">
      <w:pPr>
        <w:rPr>
          <w:rFonts w:ascii="Arial" w:hAnsi="Arial" w:cs="Arial"/>
        </w:rPr>
      </w:pPr>
      <w:r>
        <w:rPr>
          <w:rFonts w:ascii="Arial" w:hAnsi="Arial" w:cs="Arial"/>
        </w:rPr>
        <w:t xml:space="preserve">ES parengė dokumentą (vadinamąją </w:t>
      </w:r>
      <w:hyperlink w:tgtFrame="_blank" w:history="1" r:id="rId11">
        <w:r>
          <w:rPr>
            <w:rStyle w:val="Hyperlink"/>
            <w:rFonts w:ascii="Arial" w:hAnsi="Arial" w:cs="Arial"/>
          </w:rPr>
          <w:t xml:space="preserve">Europos vaiko garantijų sistemą),</w:t>
        </w:r>
      </w:hyperlink>
      <w:r>
        <w:rPr>
          <w:rFonts w:ascii="Arial" w:hAnsi="Arial" w:cs="Arial"/>
        </w:rPr>
        <w:t xml:space="preserve">kuriame teigiama, kad visos ES šalys turi parengti planą, kuriuo būtų užtikrinta, kad skurde ar sunkioje padėtyje visoje ES gyvenantys vaikai ir jaunimas gautų jiems reikalingą pagalbą.</w:t>
      </w:r>
    </w:p>
    <w:p w14:paraId="081DEF59" w14:textId="0E28CA87" w14:noSpellErr="1">
      <w:pPr>
        <w:pStyle w:val="P68B1DB1-Normal2"/>
      </w:pPr>
      <w:r>
        <w:t xml:space="preserve">Mes norime sužinoti, kaip gyvenimas atrodo vaikams ir paaugliams jūsų bendruomenėje, ypač tiems, kurie ne visada turi tai, ko jiems reikia. Pavyzdžiui, „Education &amp;amp“ gali suteikti vaikams galimybę dalyvauti švietimo veikloje; sveikatos priežiūra; Pakankamai geras apgyvendinimas ir sveikas maistas &amp; stiprintuvas; Mokykla valgo vieną kartą per dieną. Ką ES galėtų padaryti, kad vaikams būtų geriau? Žmonės, dirbantys šiuo ES politikos klausimu, tikrai nori žinoti, kokia yra vaikų nuomonė, ir pažadėjo rimtai į ją atsižvelgti dirbdami šiuo klausimu. </w:t>
      </w:r>
    </w:p>
    <w:p w14:paraId="36C2276B" w14:textId="6A416C80">
      <w:pPr>
        <w:pStyle w:val="P68B1DB1-Normal2"/>
      </w:pPr>
      <w:r>
        <w:t xml:space="preserve">Norime užtikrinti, kad galėtumėte priimti informacija pagrįstą sprendimą, ar dalyvauti konsultavimo veikloje. Perskaitykite šį dokumentą, kad patikrintumėte, ar dalyvavimas yra tinkamas, ir, jei turite klausimų, kreipkitės į asmenį, kuris jums atsiuntė šią informacijos suvestinę. </w:t>
      </w:r>
    </w:p>
    <w:p w14:paraId="323CD80E" w14:textId="660EBE62">
      <w:pPr>
        <w:pStyle w:val="P68B1DB1-Normal2"/>
      </w:pPr>
      <w:r>
        <w:t xml:space="preserve">Platformoje vykdysime trijų rūšių konsultacinę veiklą. Ši veikla apima: Apklausos, interviu ir grupinės diskusijos. Šiandien mes prašome jūsų susidomėjimo ir sutinkame dalyvauti pokalbyje ar grupinėje diskusijoje.</w:t>
      </w:r>
    </w:p>
    <w:p w14:paraId="1BA934C3" w14:textId="52A678B1">
      <w:pPr>
        <w:pStyle w:val="P68B1DB1-Normal3"/>
      </w:pPr>
      <w:r>
        <w:t xml:space="preserve">Apie pokalbius ir grupines diskusijas </w:t>
      </w:r>
    </w:p>
    <w:p w14:paraId="4559E3F2" w14:textId="42A248B8">
      <w:pPr>
        <w:pStyle w:val="P68B1DB1-Normal2"/>
      </w:pPr>
      <w:r>
        <w:t xml:space="preserve">Interviu ir grupinės diskusijos susideda iš klausimų, kuriuos suaugusysis prašo daugiau sužinoti apie jūsų nuomonę ir patirtį tam tikra tema. Pokalbių ir grupinių diskusijų tikslas – sužinoti jūsų nuomonę apie Europos vaiko garantijų sistemą, į kurią bus atsižvelgta rengiant dokumentus ir komunikacijos veiksmus, susijusius su jos pažanga. Visi pokalbiai ir tikslinės grupės vyksta visose ES valstybėse narėse. Dalyvauti galite, jei gyvenate vienoje iš ES valstybių narių. </w:t>
      </w:r>
    </w:p>
    <w:p w14:paraId="248AA337" w14:textId="4F099BDE" w14:noSpellErr="1">
      <w:pPr>
        <w:pStyle w:val="P68B1DB1-Normal2"/>
      </w:pPr>
      <w:r>
        <w:t xml:space="preserve">Šiuos pokalbius ir grupines diskusijas palengvins jums jau pažįstami žmonės, šią informaciją jums pateikusi organizacija arba platformos vaiko teisių suteikimo pareigūnai jūsų gimtąja kalba arba anglų kalba. Tai yra apmokyti ekspertai, dirbantys su vaikais. Jos taip pat užtikrins, kad būtų taikomos visos apsaugos priemonės, kad visi vaikai galėtų saugiai, prasmingai ir įtraukiai dalyvauti. Jei užsiregistruosite ir sutinkate dalyvauti šioje veikloje, praneškite mums, ar jums reikia specialių apsaugos priemonių, kad galėtumėte dalyvauti šioje veikloje. </w:t>
      </w:r>
    </w:p>
    <w:p w14:paraId="75A448D3" w14:textId="262135FC">
      <w:pPr>
        <w:pStyle w:val="P68B1DB1-Normal4"/>
        <w:rPr>
          <w:bCs/>
        </w:rPr>
      </w:pPr>
      <w:r>
        <w:t xml:space="preserve">Pokalbių ir grupinių diskusijų vieta ir laikas</w:t>
      </w:r>
    </w:p>
    <w:p w14:paraId="3A8AAA4F" w14:textId="4714B5DC">
      <w:pPr>
        <w:pStyle w:val="P68B1DB1-Normal5"/>
      </w:pPr>
      <w:r>
        <w:t xml:space="preserve">Pokalbiai ir grupinės diskusijos vyksta internetu arba asmeniškai:</w:t>
      </w:r>
    </w:p>
    <w:p w14:paraId="32CF7AB9" w14:textId="53ABB25C">
      <w:pPr>
        <w:pStyle w:val="P68B1DB1-ListParagraph6"/>
        <w:numPr>
          <w:ilvl w:val="0"/>
          <w:numId w:val="13"/>
        </w:numPr>
        <w:spacing w:after="0" w:line="240" w:lineRule="auto"/>
        <w:rPr>
          <w:rFonts w:eastAsia="Times New Roman"/>
        </w:rPr>
      </w:pPr>
      <w:r>
        <w:t xml:space="preserve">Kada: 2025 m. spalio–gruodžio mėn. jums ir jus lydintiems suaugusiesiems patogiu laiku.</w:t>
      </w:r>
    </w:p>
    <w:p w14:paraId="3AB3845D" w14:textId="77777777">
      <w:pPr>
        <w:pStyle w:val="P68B1DB1-ListParagraph6"/>
        <w:numPr>
          <w:ilvl w:val="0"/>
          <w:numId w:val="13"/>
        </w:numPr>
      </w:pPr>
      <w:r>
        <w:t xml:space="preserve">Taikomos šios nuostatos: </w:t>
      </w:r>
    </w:p>
    <w:p w14:paraId="7B87AB15" w14:textId="4D4B4CD2">
      <w:pPr>
        <w:pStyle w:val="P68B1DB1-ListParagraph6"/>
        <w:numPr>
          <w:ilvl w:val="1"/>
          <w:numId w:val="13"/>
        </w:numPr>
      </w:pPr>
      <w:r>
        <w:t xml:space="preserve">Prisijungę - jums reikia interneto prieigos (per telefono nešiojamąjį kompiuterį ar kompiuterį), kad galėtumėte prisijungti prie susitikimo per "Microsoft Teams".</w:t>
      </w:r>
    </w:p>
    <w:p w14:paraId="3929F037" w14:textId="07D5E116" w14:noSpellErr="1">
      <w:pPr>
        <w:pStyle w:val="P68B1DB1-ListParagraph6"/>
        <w:numPr>
          <w:ilvl w:val="1"/>
          <w:numId w:val="13"/>
        </w:numPr>
      </w:pPr>
      <w:r>
        <w:t xml:space="preserve">"Save the Children" arba "SOS Village" biure jūsų šalyje. </w:t>
      </w:r>
    </w:p>
    <w:p w14:paraId="6CC5DE12" w14:textId="2F413054">
      <w:pPr>
        <w:pStyle w:val="P68B1DB1-ListParagraph6"/>
        <w:numPr>
          <w:ilvl w:val="0"/>
          <w:numId w:val="13"/>
        </w:numPr>
      </w:pPr>
      <w:r>
        <w:t xml:space="preserve">Kiek laiko: Pokalbiai trunka ne ilgiau kaip 45 minutes, o grupės diskusijos - ne ilgiau kaip 1 valandą ir 30 minučių. Grupinėje diskusijoje dalyvauja ne daugiau kaip 12 vaikų.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Jūsų dalyvavimas yra savanoriškas</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Jūsų dalyvavimas veikloje yra savanoriškas ir jūs turite galią ir teisę nuspręsti, kiek laiko dalyvauti.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Bet kuriuo metu galite apsigalvoti ir nuspręsti nedalyvauti veikloje, nenurodydami mums priežasties.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Jei dėl kokios nors priežasties jaučiatės nepatogiai, praneškite darbuotojui kuo greičiau. Jūsų prašymą nagrinėjame saugiai ir konfidencialiai.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Kaip užtikrinti, kad vaikai būtų saugūs?</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Platforma yra įsipareigojusi remti ir skatinti visų vaikų, kurie yra platformos nariai, gerovę. Mes taikome visiško netoleravimo politiką bet kokios formos priekabiavimui, diskriminacijai, patyčioms, seksualiniam išnaudojimui, prievartai ar vaikų teisių pažeidimams. Taip pat užtikriname, kad gerbiame teisę į privatumą. Sukūrėme įvairias apsaugos ir vaikų apsaugos priemones, kuriomis bus vadovaujamasi vykdant visą platformos veiklą, be kita ko, vaikams patogiu formatu. Be to, paskyrėme vaikų apsaugos pareigūnus, kurie prižiūrės vaiką, kad apsaugotų visų intervencijų su vaikais aspektus ir užtikrintų, kad būtų imtasi tinkamų atsargumo priemonių. Norėdami gauti daugiau informacijos apie mūsų įsipareigojimą saugoti ir skaityti mūsų vaiko apsaugos politiką, rašykite mums adresu </w:t>
      </w:r>
      <w:hyperlink w:history="1" r:id="rId12">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Prašome padėti mums suprasti, jei yra kokių nors klausimų, kurie gali būti ypač jautrūs jums. Pasakykite asmeniui, kuris organizuoja pokalbį su jumis, apie viską, ką, jūsų manymu, turėtumėte žinoti, kad padėtumėte jiems užtikrinti saugumą. Interviu gali būti pritaikytas prie individualių vaikų poreikių.</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Viskas, ką sakote per konsultacinę veiklą, yra anonimiška. Vienintelės išimtys yra tada, kai mums sakote, kad jūs ar kas nors kitas yra sužeistas ar pavojuje. Tada privalome laikytis saugos taisyklių arba pranešti apie tai, ką mums pasakėte, asmeniui, kuris jums pateikė šį informacijos lapą.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 xml:space="preserve">Kontaktinė informacija</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Norėdami gauti daugiau informacijos, kreipkitės į </w:t>
      </w:r>
      <w:commentRangeStart w:id="1"/>
      <w:r>
        <w:rPr>
          <w:rFonts w:ascii="Arial" w:hAnsi="Arial" w:cs="Arial" w:eastAsia="Times New Roman"/>
          <w:highlight w:val="yellow"/>
        </w:rPr>
        <w:t xml:space="preserve">XXX –</w:t>
      </w:r>
      <w:r>
        <w:rPr>
          <w:rFonts w:ascii="Arial" w:hAnsi="Arial" w:cs="Arial" w:eastAsia="Times New Roman"/>
        </w:rPr>
        <w:t xml:space="preserve"> </w:t>
      </w:r>
      <w:commentRangeEnd w:id="1"/>
      <w:r>
        <w:rPr>
          <w:rStyle w:val="CommentReference"/>
        </w:rPr>
        <w:commentReference w:id="1"/>
      </w:r>
      <w:r>
        <w:rPr>
          <w:rFonts w:ascii="Arial" w:hAnsi="Arial" w:cs="Arial" w:eastAsia="Times New Roman"/>
        </w:rPr>
        <w:t xml:space="preserve">asmenį, kuris jums pateikė šią informacijos suvestinę. Taip pat galite susisiekti su mūsų apsaugos pareigūne Arianna Tripodi ir Roxana Andrei adresu </w:t>
      </w:r>
      <w:hyperlink r:id="R11cbeaf981524810">
        <w:r>
          <w:rPr>
            <w:rStyle w:val="Hyperlink"/>
            <w:rFonts w:ascii="Arial" w:hAnsi="Arial" w:cs="Arial" w:eastAsia="Times New Roman"/>
          </w:rPr>
          <w:t>cppsafeguarding@icf.com</w:t>
        </w:r>
      </w:hyperlink>
      <w:r>
        <w:rPr>
          <w:rFonts w:ascii="Arial" w:hAnsi="Arial" w:cs="Arial" w:eastAsia="Times New Roman"/>
        </w:rPr>
        <w:t xml:space="preserve"> arba su mūsų Europos Komisijos atstovu adresu </w:t>
      </w:r>
      <w:hyperlink r:id="Rf91b01bf6a344630">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Jūsų duomenų apsauga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Kai jūs bendraujate su mumis, mes galime rinkti ir apdoroti informaciją apie jus. Tai apima jūsų vardą, pavardę, adresą, e. pašto adresą (-us), telefono numerį (-ius) ir gimimo datą. </w:t>
      </w:r>
    </w:p>
    <w:p w14:paraId="4B0A9ECF" w14:textId="26B85535">
      <w:pPr>
        <w:pStyle w:val="P68B1DB1-ListParagraph7"/>
        <w:numPr>
          <w:ilvl w:val="0"/>
          <w:numId w:val="4"/>
        </w:numPr>
        <w:spacing w:after="0" w:line="240" w:lineRule="auto"/>
        <w:contextualSpacing w:val="0"/>
        <w:jc w:val="both"/>
      </w:pPr>
      <w:r>
        <w:t xml:space="preserve">Visa informacija, kurią mes renkame apie jus, yra </w:t>
      </w:r>
      <w:r>
        <w:rPr>
          <w:b/>
        </w:rPr>
        <w:t xml:space="preserve">griežtai konfidenciali</w:t>
      </w:r>
      <w:r>
        <w:t xml:space="preserve"> ir mes paprašysime kitų, kurie bendrauja su jumis veiklos metu, taip pat gerbti jūsų konfidencialumą. </w:t>
      </w:r>
    </w:p>
    <w:p w14:paraId="717B584B" w14:textId="014AF068">
      <w:pPr>
        <w:pStyle w:val="P68B1DB1-ListParagraph7"/>
        <w:numPr>
          <w:ilvl w:val="0"/>
          <w:numId w:val="4"/>
        </w:numPr>
        <w:spacing w:after="0" w:line="240" w:lineRule="auto"/>
        <w:contextualSpacing w:val="0"/>
        <w:jc w:val="both"/>
      </w:pPr>
      <w:r>
        <w:t xml:space="preserve">Jokie komentarai ar citatos nėra susiję su jūsų vardu. Jei veikla reikalauja naudoti jūsų vardą (tik vardą), nuotrauką ar balsą, mes jums tai paaiškinsime ir paprašysime atskirai jūsų ir jūsų tėvų ar globėjų sutikimo. </w:t>
      </w:r>
    </w:p>
    <w:p w14:paraId="23F72112" w14:textId="77777777">
      <w:pPr>
        <w:pStyle w:val="P68B1DB1-ListParagraph7"/>
        <w:numPr>
          <w:ilvl w:val="0"/>
          <w:numId w:val="4"/>
        </w:numPr>
        <w:spacing w:after="0" w:line="240" w:lineRule="auto"/>
        <w:contextualSpacing w:val="0"/>
        <w:jc w:val="both"/>
      </w:pPr>
      <w:r>
        <w:t xml:space="preserve">Jei girdime, kad jums ar kam nors kitam gali būti pakenkta, privalome dalytis informacija su kuo nors kitu, kad apsaugotume jus ir kitus.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Siekiant užtikrinti, kad jūs ir jūsų tėvai ar globėjai būtų informuoti apie veiklos rūšis (pokalbius ir tikslines grupes), jūsų dalyvavimą ir kaip mes naudosime jūsų informaciją, mums reikia jūsų susitarimų ir rašytinio jūsų tėvų ar globėjų sutikimo.</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Pritarimas. Konsultavimosi dėl Europos vaiko garantijų sistemos priemonės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Norėčiau dalyvauti šioje veikloje – pokalbyje ir grupinėje diskusijoje.</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TAIP</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Sutinku dalyvauti platformos veikloje ir sutinku, kad mano asmens duomenys būtų tvarkomi pagal </w:t>
      </w:r>
      <w:hyperlink w:history="1" w:anchor=":~:text=Regulation%20%28EU%29%202018%2F1725%20of%20the%20European%20Parliament%20and,and%20Decision%20No%201247%2F2002%2FEC%20%28Text%20with%20EEA%20relevance%29." r:id="rId19">
        <w:r>
          <w:rPr>
            <w:rStyle w:val="Hyperlink"/>
            <w:rFonts w:ascii="Arial" w:hAnsi="Arial" w:cs="Arial"/>
          </w:rPr>
          <w:t xml:space="preserve">ES reglamentą (ES)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TAIP</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 xml:space="preserve">Vardas, pavardė:</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Data: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Parašas:</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Įrašykite savo vardą ir pavardę / generalinio direktoriaus vardą ir pavardę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538398645 paveikslas"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aveikslas"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„ES vaikų dalyvavimo platformos sukūrimas, valdymas ir koordinavimas“ yra Europos Sąjungos paslaugų sutartis. Sutarties numeris: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lt"/>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3AF167BF-6719-48C9-B8B6-F65895FD307E}"/>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