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5E4D" w14:textId="4E9EE247">
      <w:pPr>
        <w:pStyle w:val="Heading2"/>
      </w:pPr>
      <w:r>
        <w:t xml:space="preserve">Anexo 3 Formulário de consentimento de consulta para crianças</w:t>
      </w:r>
    </w:p>
    <w:p w14:paraId="3AE0EBC9" w14:textId="77777777">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p>
    <w:p w14:paraId="12E974E5" w14:textId="0E179CA4">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Formulário de consentimento para crianças </w:t>
      </w:r>
    </w:p>
    <w:p w14:paraId="175B350A" w14:textId="6A917411">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Participação em entrevistas e grupos de reflexão</w:t>
      </w:r>
    </w:p>
    <w:p w14:paraId="49A67BD5" w14:textId="77777777">
      <w:pPr>
        <w:spacing w:after="0" w:line="240" w:lineRule="auto"/>
        <w:jc w:val="both"/>
        <w:rPr>
          <w:rFonts w:ascii="Arial" w:hAnsi="Arial" w:cs="Arial"/>
          <w:b/>
          <w:bCs/>
        </w:rPr>
      </w:pPr>
    </w:p>
    <w:p w14:paraId="29109DE9" w14:textId="29735C3E" w14:noSpellErr="1">
      <w:pPr>
        <w:pStyle w:val="P68B1DB1-Normal1"/>
        <w:spacing w:after="0" w:line="240" w:lineRule="auto"/>
        <w:jc w:val="both"/>
      </w:pPr>
      <w:r>
        <w:t xml:space="preserve">Olá! </w:t>
      </w:r>
    </w:p>
    <w:p w14:paraId="7D86B85A" w14:textId="77777777">
      <w:pPr>
        <w:spacing w:after="0" w:line="240" w:lineRule="auto"/>
        <w:jc w:val="both"/>
        <w:rPr>
          <w:rFonts w:ascii="Arial" w:hAnsi="Arial" w:cs="Arial"/>
          <w:b/>
          <w:bCs/>
        </w:rPr>
      </w:pPr>
    </w:p>
    <w:p w14:paraId="345B4431" w14:textId="1E29A656">
      <w:pPr>
        <w:pStyle w:val="P68B1DB1-Normal2"/>
        <w:spacing w:after="0" w:line="240" w:lineRule="auto"/>
        <w:jc w:val="both"/>
      </w:pPr>
      <w:r>
        <w:t xml:space="preserve">Trabalhamos com a Plataforma de Envolvimento Infantil (Plataforma), um local seguro para todas as crianças partilharem com os decisores o que pensam sobre questões importantes que afetam as suas vidas. Esta plataforma será criada em estreita cooperação com a Comissão Europeia. </w:t>
      </w:r>
    </w:p>
    <w:p w14:paraId="2C53CA11" w14:textId="77777777">
      <w:pPr>
        <w:spacing w:after="0" w:line="240" w:lineRule="auto"/>
        <w:jc w:val="both"/>
        <w:rPr>
          <w:rFonts w:ascii="Arial" w:hAnsi="Arial" w:cs="Arial"/>
        </w:rPr>
      </w:pPr>
    </w:p>
    <w:p w14:paraId="0CA2E31E" w14:textId="58C879A6">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Fornecer-lhe-emos este formulário de consentimento porque gostaríamos de convidá-lo a participar na atividade de consulta organizada pela Plataforma. </w:t>
      </w:r>
    </w:p>
    <w:p w14:paraId="257BC5D8" w14:textId="1B12653B">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Antes de decidir, é importante que saiba o que é a consultoria e qual é o seu envolvimento e contribuição. </w:t>
      </w:r>
    </w:p>
    <w:p w14:paraId="2A19899F" w14:textId="77777777">
      <w:pPr>
        <w:spacing w:after="0"/>
        <w:jc w:val="both"/>
        <w:rPr>
          <w:rFonts w:ascii="Arial" w:hAnsi="Arial" w:cs="Arial"/>
          <w:b/>
          <w:bCs/>
          <w:color w:val="1F3864" w:themeColor="accent1" w:themeShade="80"/>
        </w:rPr>
      </w:pPr>
    </w:p>
    <w:p w14:paraId="0B9E3E7B" w14:textId="7F0CD377">
      <w:pPr>
        <w:pStyle w:val="P68B1DB1-Normal3"/>
        <w:spacing w:after="0"/>
        <w:jc w:val="both"/>
        <w:rPr>
          <w:bCs/>
        </w:rPr>
      </w:pPr>
      <w:bookmarkStart w:name="_Hlk136593300" w:id="0"/>
      <w:r>
        <w:t xml:space="preserve">Descrição geral das atividades da Plataforma </w:t>
      </w:r>
    </w:p>
    <w:p w14:paraId="50CFB618" w14:textId="77777777">
      <w:pPr>
        <w:spacing w:after="0"/>
        <w:jc w:val="both"/>
        <w:rPr>
          <w:rFonts w:ascii="Arial" w:hAnsi="Arial" w:cs="Arial"/>
          <w:b/>
          <w:bCs/>
        </w:rPr>
      </w:pPr>
    </w:p>
    <w:p w14:paraId="4B89A683" w14:textId="7BD51170">
      <w:pPr>
        <w:pStyle w:val="P68B1DB1-Normal2"/>
        <w:spacing w:after="0"/>
        <w:jc w:val="both"/>
      </w:pPr>
      <w:r>
        <w:t xml:space="preserve">A plataforma oferece atividades interativas sérias e divertidas para as crianças partilharem as suas opiniões, ideias e experiências sobre temas que lhes interessam. Tal poderá incluir responder a inquéritos, participar em entrevistas e debates em grupos de reflexão, participar em inquéritos, partilhar desenhos ou histórias, entre outros. A participação é voluntária e a criança/jovem pode cancelar a participação a qualquer momento. </w:t>
      </w:r>
    </w:p>
    <w:p w14:paraId="7AC5C9BA" w14:textId="77777777">
      <w:pPr>
        <w:spacing w:after="0"/>
        <w:jc w:val="both"/>
        <w:rPr>
          <w:rFonts w:ascii="Arial" w:hAnsi="Arial" w:cs="Arial"/>
          <w:b/>
          <w:bCs/>
        </w:rPr>
      </w:pPr>
    </w:p>
    <w:p w14:paraId="10D8D21E" w14:textId="3F343B78">
      <w:pPr>
        <w:pStyle w:val="P68B1DB1-Normal3"/>
        <w:spacing w:after="0"/>
        <w:jc w:val="both"/>
        <w:rPr>
          <w:bCs/>
        </w:rPr>
      </w:pPr>
      <w:r>
        <w:t xml:space="preserve">Sobre o que são as consultas? </w:t>
      </w:r>
    </w:p>
    <w:p w14:paraId="690191F4" w14:textId="77777777">
      <w:pPr>
        <w:spacing w:after="0"/>
        <w:jc w:val="both"/>
        <w:rPr>
          <w:rFonts w:ascii="Arial" w:hAnsi="Arial" w:cs="Arial"/>
        </w:rPr>
      </w:pPr>
    </w:p>
    <w:p w14:paraId="10338ADF" w14:textId="43779C34">
      <w:pPr>
        <w:pStyle w:val="P68B1DB1-Normal2"/>
      </w:pPr>
      <w:r>
        <w:t xml:space="preserve">Uma consulta é um processo em que um adulto lhe faz perguntas para que possa conhecer melhor os seus pontos de vista e experiências sobre uma questão política que a União Europeia está a tentar resolver. Este ano, a consulta da plataforma centrar-se-á na </w:t>
      </w:r>
      <w:r>
        <w:rPr>
          <w:u w:val="single"/>
        </w:rPr>
        <w:t xml:space="preserve">Garantia Europeia para a Infância.</w:t>
      </w:r>
      <w:r>
        <w:t xml:space="preserve"> </w:t>
      </w:r>
    </w:p>
    <w:p w14:paraId="4DEE4EB8" w14:textId="5D0D1A63">
      <w:pPr>
        <w:rPr>
          <w:rFonts w:ascii="Arial" w:hAnsi="Arial" w:cs="Arial"/>
        </w:rPr>
      </w:pPr>
      <w:r>
        <w:rPr>
          <w:rFonts w:ascii="Arial" w:hAnsi="Arial" w:cs="Arial"/>
        </w:rPr>
        <w:t xml:space="preserve">A UE elaborou um documento (a chamada </w:t>
      </w:r>
      <w:hyperlink w:tgtFrame="_blank" w:history="1" r:id="rId11">
        <w:r>
          <w:rPr>
            <w:rStyle w:val="Hyperlink"/>
            <w:rFonts w:ascii="Arial" w:hAnsi="Arial" w:cs="Arial"/>
          </w:rPr>
          <w:t xml:space="preserve">Garantia Europeia para a Infância),</w:t>
        </w:r>
      </w:hyperlink>
      <w:r>
        <w:rPr>
          <w:rFonts w:ascii="Arial" w:hAnsi="Arial" w:cs="Arial"/>
        </w:rPr>
        <w:t xml:space="preserve">que estabelece que todos os países da UE devem elaborar um plano para garantir que as crianças e os jovens que vivem em situação de pobreza ou em situações difíceis em toda a UE recebem a ajuda de que necessitam.</w:t>
      </w:r>
    </w:p>
    <w:p w14:paraId="081DEF59" w14:textId="0E28CA87" w14:noSpellErr="1">
      <w:pPr>
        <w:pStyle w:val="P68B1DB1-Normal2"/>
      </w:pPr>
      <w:r>
        <w:t xml:space="preserve">Queremos aprender como é a vida para crianças e adolescentes na sua comunidade, especialmente para aqueles que nem sempre têm as coisas de que precisam. Por exemplo, as crianças podem ter acesso a atividades educativas por parte da Education &amp; cuidados de saúde; Alojamento suficientemente bom e alimentação saudável &amp; amp; Uma refeição escolar por dia. E o que pode a UE fazer para melhorar as coisas para as crianças? As pessoas que trabalham nesta questão política da UE querem realmente saber quais são as opiniões das crianças e prometeram levá-las a sério quando trabalharem nesta questão. </w:t>
      </w:r>
    </w:p>
    <w:p w14:paraId="36C2276B" w14:textId="6A416C80">
      <w:pPr>
        <w:pStyle w:val="P68B1DB1-Normal2"/>
      </w:pPr>
      <w:r>
        <w:t xml:space="preserve">Queremos certificar-nos de que pode tomar uma decisão informada sobre a sua participação nas atividades de consultoria. Leia este documento para verificar se a participação é adequada e, em caso de dúvida, contacte a pessoa que lhe enviou esta ficha informativa. </w:t>
      </w:r>
    </w:p>
    <w:p w14:paraId="323CD80E" w14:textId="660EBE62">
      <w:pPr>
        <w:pStyle w:val="P68B1DB1-Normal2"/>
      </w:pPr>
      <w:r>
        <w:t xml:space="preserve">Na plataforma, realizaremos três tipos de atividades de consulta. Estas atividades incluem: Inquéritos, entrevistas e debates em grupo. Hoje pedimos o seu interesse e concordamos em participar numa entrevista ou discussão em grupo.</w:t>
      </w:r>
    </w:p>
    <w:p w14:paraId="1BA934C3" w14:textId="52A678B1">
      <w:pPr>
        <w:pStyle w:val="P68B1DB1-Normal3"/>
      </w:pPr>
      <w:r>
        <w:t xml:space="preserve">Sobre as entrevistas e as discussões de grupo </w:t>
      </w:r>
    </w:p>
    <w:p w14:paraId="4559E3F2" w14:textId="42A248B8">
      <w:pPr>
        <w:pStyle w:val="P68B1DB1-Normal2"/>
      </w:pPr>
      <w:r>
        <w:t xml:space="preserve">As entrevistas e as discussões em grupo consistem numa série de perguntas que um adulto lhe pede para saber mais sobre as suas opiniões e experiências sobre um tema. O objetivo das entrevistas e dos debates de grupo será recolher os seus pontos de vista sobre a Garantia Europeia para a Infância, que será tida em conta na preparação de documentos e ações de comunicação sobre os progressos realizados. Todas as entrevistas e grupos de reflexão são realizados em todos os Estados-Membros da UE. Pode participar se residir num dos Estados-Membros da UE. </w:t>
      </w:r>
    </w:p>
    <w:p w14:paraId="248AA337" w14:textId="4F099BDE" w14:noSpellErr="1">
      <w:pPr>
        <w:pStyle w:val="P68B1DB1-Normal2"/>
      </w:pPr>
      <w:r>
        <w:t xml:space="preserve">Estas entrevistas e discussões em grupo serão facilitadas por pessoas que já conhece, pela organização que lhe forneceu estas informações ou pelos Diretores de Capacitação Infantil (CEO) da plataforma na sua língua materna ou em inglês. Estes são especialistas treinados em trabalhar com crianças. Assegurarão igualmente a aplicação de todas as medidas de proteção para permitir a participação segura, significativa e inclusiva de todas as crianças. Se se registar e concordar em participar nesta atividade, informe-nos se precisar de salvaguardas especiais para participar nesta atividade. </w:t>
      </w:r>
    </w:p>
    <w:p w14:paraId="75A448D3" w14:textId="262135FC">
      <w:pPr>
        <w:pStyle w:val="P68B1DB1-Normal4"/>
        <w:rPr>
          <w:bCs/>
        </w:rPr>
      </w:pPr>
      <w:r>
        <w:t xml:space="preserve">Localização e calendário das entrevistas e dos debates em grupo</w:t>
      </w:r>
    </w:p>
    <w:p w14:paraId="3A8AAA4F" w14:textId="4714B5DC">
      <w:pPr>
        <w:pStyle w:val="P68B1DB1-Normal5"/>
      </w:pPr>
      <w:r>
        <w:t xml:space="preserve">As entrevistas e os debates de grupo realizam-se em linha ou presencialmente:</w:t>
      </w:r>
    </w:p>
    <w:p w14:paraId="32CF7AB9" w14:textId="53ABB25C">
      <w:pPr>
        <w:pStyle w:val="P68B1DB1-ListParagraph6"/>
        <w:numPr>
          <w:ilvl w:val="0"/>
          <w:numId w:val="13"/>
        </w:numPr>
        <w:spacing w:after="0" w:line="240" w:lineRule="auto"/>
        <w:rPr>
          <w:rFonts w:eastAsia="Times New Roman"/>
        </w:rPr>
      </w:pPr>
      <w:r>
        <w:t xml:space="preserve">Quando: entre outubro e dezembro de 2025, numa altura conveniente para si e para os seus adultos acompanhantes.</w:t>
      </w:r>
    </w:p>
    <w:p w14:paraId="3AB3845D" w14:textId="77777777">
      <w:pPr>
        <w:pStyle w:val="P68B1DB1-ListParagraph6"/>
        <w:numPr>
          <w:ilvl w:val="0"/>
          <w:numId w:val="13"/>
        </w:numPr>
      </w:pPr>
      <w:r>
        <w:t xml:space="preserve">É aplicável o seguinte: </w:t>
      </w:r>
    </w:p>
    <w:p w14:paraId="7B87AB15" w14:textId="4D4B4CD2">
      <w:pPr>
        <w:pStyle w:val="P68B1DB1-ListParagraph6"/>
        <w:numPr>
          <w:ilvl w:val="1"/>
          <w:numId w:val="13"/>
        </w:numPr>
      </w:pPr>
      <w:r>
        <w:t xml:space="preserve">Online - Necessita de acesso à Internet (através de um computador portátil ou de um telemóvel) para se ligar à reunião através do Microsoft Teams.</w:t>
      </w:r>
    </w:p>
    <w:p w14:paraId="3929F037" w14:textId="07D5E116" w14:noSpellErr="1">
      <w:pPr>
        <w:pStyle w:val="P68B1DB1-ListParagraph6"/>
        <w:numPr>
          <w:ilvl w:val="1"/>
          <w:numId w:val="13"/>
        </w:numPr>
      </w:pPr>
      <w:r>
        <w:t xml:space="preserve">No escritório da Save the Children ou da Aldeia SOS no seu país. </w:t>
      </w:r>
    </w:p>
    <w:p w14:paraId="6CC5DE12" w14:textId="2F413054">
      <w:pPr>
        <w:pStyle w:val="P68B1DB1-ListParagraph6"/>
        <w:numPr>
          <w:ilvl w:val="0"/>
          <w:numId w:val="13"/>
        </w:numPr>
      </w:pPr>
      <w:r>
        <w:t xml:space="preserve">Quanto tempo: As entrevistas não duram mais de 45 minutos e as discussões de grupo não duram mais de 1 hora e 30 minutos. Participam num debate em grupo, no máximo, 12 crianças. </w:t>
      </w:r>
    </w:p>
    <w:p w14:paraId="22DBB6C1" w14:textId="45914F66">
      <w:pPr>
        <w:pStyle w:val="ListParagraph"/>
        <w:spacing w:after="0" w:line="240" w:lineRule="auto"/>
        <w:rPr>
          <w:rFonts w:eastAsia="Times New Roman"/>
        </w:rPr>
      </w:pPr>
    </w:p>
    <w:bookmarkEnd w:id="0"/>
    <w:p w14:paraId="59523187" w14:textId="77777777">
      <w:pPr>
        <w:pStyle w:val="P68B1DB1-Normal1"/>
        <w:rPr>
          <w:bCs/>
        </w:rPr>
      </w:pPr>
      <w:r>
        <w:t xml:space="preserve">A sua participação é voluntária</w:t>
      </w:r>
    </w:p>
    <w:p w14:paraId="4142DFDC" w14:textId="77777777">
      <w:pPr>
        <w:pStyle w:val="ListParagraph"/>
        <w:numPr>
          <w:ilvl w:val="0"/>
          <w:numId w:val="20"/>
        </w:numPr>
        <w:rPr>
          <w:rStyle w:val="normaltextrun"/>
          <w:rFonts w:cs="Arial" w:eastAsiaTheme="majorEastAsia"/>
        </w:rPr>
      </w:pPr>
      <w:r>
        <w:rPr>
          <w:rStyle w:val="normaltextrun"/>
          <w:rFonts w:cs="Arial" w:eastAsiaTheme="majorEastAsia"/>
        </w:rPr>
        <w:t xml:space="preserve">A sua participação na atividade é voluntária e tem o poder e o direito de decidir durante quanto tempo participar. </w:t>
      </w:r>
    </w:p>
    <w:p w14:paraId="3D92D044" w14:textId="77777777">
      <w:pPr>
        <w:pStyle w:val="ListParagraph"/>
        <w:numPr>
          <w:ilvl w:val="0"/>
          <w:numId w:val="20"/>
        </w:numPr>
        <w:rPr>
          <w:rStyle w:val="normaltextrun"/>
          <w:rFonts w:cs="Arial" w:eastAsiaTheme="majorEastAsia"/>
        </w:rPr>
      </w:pPr>
      <w:r>
        <w:rPr>
          <w:rStyle w:val="normaltextrun"/>
          <w:rFonts w:cs="Arial" w:eastAsiaTheme="majorEastAsia"/>
        </w:rPr>
        <w:t xml:space="preserve">Pode mudar de ideias a qualquer momento e decidir não participar na atividade sem nos dar uma razão. </w:t>
      </w:r>
    </w:p>
    <w:p w14:paraId="444C9645" w14:textId="77777777">
      <w:pPr>
        <w:pStyle w:val="ListParagraph"/>
        <w:numPr>
          <w:ilvl w:val="0"/>
          <w:numId w:val="20"/>
        </w:numPr>
        <w:rPr>
          <w:rStyle w:val="normaltextrun"/>
          <w:rFonts w:cs="Arial" w:eastAsiaTheme="majorEastAsia"/>
        </w:rPr>
      </w:pPr>
      <w:r>
        <w:rPr>
          <w:rStyle w:val="normaltextrun"/>
          <w:rFonts w:cs="Arial" w:eastAsiaTheme="majorEastAsia"/>
        </w:rPr>
        <w:t xml:space="preserve">Se se sentir desconfortável por qualquer motivo, informe um funcionário o mais rapidamente possível. Tratamos o seu pedido de forma segura e confidencial. </w:t>
      </w:r>
    </w:p>
    <w:p w14:paraId="7E8C1F6F" w14:textId="77777777">
      <w:pPr>
        <w:spacing w:after="0" w:line="240" w:lineRule="auto"/>
        <w:rPr>
          <w:rFonts w:ascii="Arial" w:hAnsi="Arial" w:cs="Arial" w:eastAsia="Times New Roman"/>
          <w:b/>
          <w:bCs/>
        </w:rPr>
      </w:pPr>
    </w:p>
    <w:p w14:paraId="286827A7" w14:textId="77777777">
      <w:pPr>
        <w:pStyle w:val="P68B1DB1-Normal4"/>
        <w:spacing w:after="0" w:line="240" w:lineRule="auto"/>
        <w:rPr>
          <w:bCs/>
        </w:rPr>
      </w:pPr>
      <w:r>
        <w:t xml:space="preserve">Como podemos garantir que as crianças estão seguras?</w:t>
      </w:r>
    </w:p>
    <w:p w14:paraId="3EC60D15" w14:textId="77777777">
      <w:pPr>
        <w:spacing w:after="0" w:line="240" w:lineRule="auto"/>
        <w:rPr>
          <w:rFonts w:ascii="Arial" w:hAnsi="Arial" w:cs="Arial" w:eastAsia="Times New Roman"/>
          <w:b/>
          <w:bCs/>
        </w:rPr>
      </w:pPr>
    </w:p>
    <w:p w14:paraId="4EF0A92F" w14:textId="3302DE40">
      <w:pPr>
        <w:spacing w:after="0" w:line="240" w:lineRule="auto"/>
        <w:rPr>
          <w:rStyle w:val="Hyperlink"/>
          <w:rFonts w:ascii="Arial" w:hAnsi="Arial" w:cs="Arial" w:eastAsia="Times New Roman"/>
        </w:rPr>
      </w:pPr>
      <w:r>
        <w:rPr>
          <w:rFonts w:ascii="Arial" w:hAnsi="Arial" w:cs="Arial" w:eastAsia="Times New Roman"/>
        </w:rPr>
        <w:t xml:space="preserve">A Plataforma está empenhada em apoiar e promover o bem-estar de todas as crianças que são membros da Plataforma. Temos uma política de tolerância zero em relação a qualquer forma de assédio, discriminação, intimidação, exploração sexual, abuso ou violação dos direitos das crianças. Também garantimos que respeitamos o direito à privacidade. Desenvolvemos uma série de medidas de proteção e proteção das crianças que orientarão todas as atividades da plataforma, incluindo num formato adaptado às crianças. Além disso, nomeámos agentes de proteção de menores para supervisionar a criança, a fim de proteger aspetos de todas as intervenções com crianças e assegurar que são tomadas as precauções adequadas. Para mais informações sobre o nosso compromisso de proteger e ler a nossa Política de Proteção à Criança, envie-nos um e-mail para </w:t>
      </w:r>
      <w:hyperlink w:history="1" r:id="rId12">
        <w:r>
          <w:rPr>
            <w:rStyle w:val="Hyperlink"/>
            <w:rFonts w:ascii="Arial" w:hAnsi="Arial" w:cs="Arial" w:eastAsia="Times New Roman"/>
          </w:rPr>
          <w:t>cppsafeguarding@icf.com</w:t>
        </w:r>
      </w:hyperlink>
    </w:p>
    <w:p w14:paraId="63ED3A9D" w14:textId="77777777">
      <w:pPr>
        <w:spacing w:after="0" w:line="240" w:lineRule="auto"/>
        <w:rPr>
          <w:rStyle w:val="Hyperlink"/>
          <w:rFonts w:ascii="Arial" w:hAnsi="Arial" w:cs="Arial" w:eastAsia="Times New Roman"/>
        </w:rPr>
      </w:pPr>
    </w:p>
    <w:p w14:paraId="1F8D0ACB" w14:textId="77777777">
      <w:pPr>
        <w:pStyle w:val="P68B1DB1-Normal5"/>
        <w:spacing w:after="0" w:line="240" w:lineRule="auto"/>
      </w:pPr>
      <w:r>
        <w:t xml:space="preserve">Por favor, ajude-nos a compreender se existem quaisquer problemas que possam ser particularmente sensíveis para você. Por favor, diga à pessoa que organiza a entrevista consigo tudo o que pensa que deve saber para ajudá-lo a colocá-lo em segurança. As entrevistas podem ser adaptadas às necessidades individuais das crianças.</w:t>
      </w:r>
    </w:p>
    <w:p w14:paraId="4B347AFF" w14:textId="77777777">
      <w:pPr>
        <w:spacing w:after="0" w:line="240" w:lineRule="auto"/>
        <w:rPr>
          <w:rFonts w:ascii="Arial" w:hAnsi="Arial" w:cs="Arial" w:eastAsia="Times New Roman"/>
        </w:rPr>
      </w:pPr>
    </w:p>
    <w:p w14:paraId="3D261FB4" w14:textId="4AC672B0">
      <w:pPr>
        <w:pStyle w:val="P68B1DB1-Normal5"/>
        <w:spacing w:after="0" w:line="240" w:lineRule="auto"/>
      </w:pPr>
      <w:r>
        <w:t xml:space="preserve">Tudo o que disser durante as atividades de consultoria é anónimo. As únicas exceções a isto são quando nos diz que você ou outra pessoa está ferida ou em perigo. Devemos então seguir as regras de segurança ou comunicar o que nos disse a uma pessoa que lhe deu esta ficha de informação.  </w:t>
      </w:r>
    </w:p>
    <w:p w14:paraId="481ADD58" w14:textId="77777777">
      <w:pPr>
        <w:spacing w:after="0" w:line="240" w:lineRule="auto"/>
        <w:rPr>
          <w:rFonts w:ascii="Arial" w:hAnsi="Arial" w:cs="Arial" w:eastAsia="Times New Roman"/>
          <w:b/>
          <w:bCs/>
        </w:rPr>
      </w:pPr>
    </w:p>
    <w:p w14:paraId="61FED950" w14:textId="2C3767EB">
      <w:pPr>
        <w:pStyle w:val="P68B1DB1-Normal4"/>
        <w:spacing w:after="0" w:line="240" w:lineRule="auto"/>
        <w:rPr>
          <w:bCs/>
        </w:rPr>
      </w:pPr>
      <w:r>
        <w:t xml:space="preserve">Informações de contacto</w:t>
      </w:r>
    </w:p>
    <w:p w14:paraId="08E3ABAE" w14:textId="77777777">
      <w:pPr>
        <w:spacing w:after="0" w:line="240" w:lineRule="auto"/>
        <w:rPr>
          <w:rFonts w:ascii="Arial" w:hAnsi="Arial" w:cs="Arial" w:eastAsia="Times New Roman"/>
          <w:b/>
          <w:bCs/>
        </w:rPr>
      </w:pPr>
    </w:p>
    <w:p w14:paraId="5965C359" w14:textId="33A75FAD" w14:noSpellErr="1">
      <w:pPr>
        <w:spacing w:after="0" w:line="240" w:lineRule="auto"/>
        <w:rPr>
          <w:rFonts w:ascii="Arial" w:hAnsi="Arial" w:cs="Arial" w:eastAsia="Times New Roman"/>
        </w:rPr>
      </w:pPr>
      <w:r>
        <w:rPr>
          <w:rFonts w:ascii="Arial" w:hAnsi="Arial" w:cs="Arial" w:eastAsia="Times New Roman"/>
        </w:rPr>
        <w:t xml:space="preserve">Para mais informações, queira contactar </w:t>
      </w:r>
      <w:commentRangeStart w:id="1"/>
      <w:r>
        <w:rPr>
          <w:rFonts w:ascii="Arial" w:hAnsi="Arial" w:cs="Arial" w:eastAsia="Times New Roman"/>
          <w:highlight w:val="yellow"/>
        </w:rPr>
        <w:t xml:space="preserve">XXX –</w:t>
      </w:r>
      <w:r>
        <w:rPr>
          <w:rFonts w:ascii="Arial" w:hAnsi="Arial" w:cs="Arial" w:eastAsia="Times New Roman"/>
        </w:rPr>
        <w:t xml:space="preserve"> </w:t>
      </w:r>
      <w:commentRangeEnd w:id="1"/>
      <w:r>
        <w:rPr>
          <w:rStyle w:val="CommentReference"/>
        </w:rPr>
        <w:commentReference w:id="1"/>
      </w:r>
      <w:r>
        <w:rPr>
          <w:rFonts w:ascii="Arial" w:hAnsi="Arial" w:cs="Arial" w:eastAsia="Times New Roman"/>
        </w:rPr>
        <w:t xml:space="preserve">uma pessoa que lhe forneceu a presente ficha informativa. Pode também contactar a nossa responsável pela proteção Arianna Tripodi e Roxana Andrei em </w:t>
      </w:r>
      <w:hyperlink r:id="R11cbeaf981524810">
        <w:r>
          <w:rPr>
            <w:rStyle w:val="Hyperlink"/>
            <w:rFonts w:ascii="Arial" w:hAnsi="Arial" w:cs="Arial" w:eastAsia="Times New Roman"/>
          </w:rPr>
          <w:t>cppsafeguarding@icf.com</w:t>
        </w:r>
      </w:hyperlink>
      <w:r>
        <w:rPr>
          <w:rFonts w:ascii="Arial" w:hAnsi="Arial" w:cs="Arial" w:eastAsia="Times New Roman"/>
        </w:rPr>
        <w:t xml:space="preserve"> ou o nosso representante da Comissão Europeia em </w:t>
      </w:r>
      <w:hyperlink r:id="Rf91b01bf6a344630">
        <w:r>
          <w:rPr>
            <w:rStyle w:val="Hyperlink"/>
            <w:rFonts w:ascii="Arial" w:hAnsi="Arial" w:cs="Arial" w:eastAsia="Times New Roman"/>
          </w:rPr>
          <w:t>EU-CHILDPARTICIPATION@ec.europa.eu.</w:t>
        </w:r>
      </w:hyperlink>
      <w:r>
        <w:rPr>
          <w:rFonts w:ascii="Arial" w:hAnsi="Arial" w:cs="Arial" w:eastAsia="Times New Roman"/>
        </w:rPr>
        <w:t xml:space="preserve"> </w:t>
      </w:r>
    </w:p>
    <w:p w14:paraId="67CFBCDA" w14:textId="77777777">
      <w:pPr>
        <w:spacing w:after="0" w:line="240" w:lineRule="auto"/>
        <w:rPr>
          <w:rFonts w:ascii="Arial" w:hAnsi="Arial" w:cs="Arial"/>
          <w:b/>
          <w:bCs/>
        </w:rPr>
      </w:pPr>
    </w:p>
    <w:p w14:paraId="38A12EFD" w14:textId="77777777">
      <w:pPr>
        <w:pStyle w:val="P68B1DB1-Normal1"/>
        <w:spacing w:after="0" w:line="240" w:lineRule="auto"/>
        <w:jc w:val="both"/>
        <w:rPr>
          <w:bCs/>
        </w:rPr>
      </w:pPr>
      <w:r>
        <w:t xml:space="preserve">Proteção de dados dos seus dados </w:t>
      </w:r>
    </w:p>
    <w:p w14:paraId="1A947841" w14:textId="77777777">
      <w:pPr>
        <w:spacing w:after="0" w:line="240" w:lineRule="auto"/>
        <w:jc w:val="both"/>
        <w:rPr>
          <w:rFonts w:ascii="Arial" w:hAnsi="Arial" w:cs="Arial"/>
          <w:b/>
          <w:bCs/>
        </w:rPr>
      </w:pPr>
    </w:p>
    <w:p w14:paraId="4CD60F02" w14:textId="77777777">
      <w:pPr>
        <w:pStyle w:val="P68B1DB1-Normal2"/>
        <w:spacing w:after="0" w:line="240" w:lineRule="auto"/>
        <w:jc w:val="both"/>
      </w:pPr>
      <w:r>
        <w:t xml:space="preserve">Quando interage connosco, podemos recolher e processar informações sobre si. Isto inclui o seu nome, endereço, endereço(s) de e-mail, número(s) de telefone e data de nascimento. </w:t>
      </w:r>
    </w:p>
    <w:p w14:paraId="4B0A9ECF" w14:textId="26B85535">
      <w:pPr>
        <w:pStyle w:val="P68B1DB1-ListParagraph7"/>
        <w:numPr>
          <w:ilvl w:val="0"/>
          <w:numId w:val="4"/>
        </w:numPr>
        <w:spacing w:after="0" w:line="240" w:lineRule="auto"/>
        <w:contextualSpacing w:val="0"/>
        <w:jc w:val="both"/>
      </w:pPr>
      <w:r>
        <w:t xml:space="preserve">Todas as informações que recolhemos sobre si são </w:t>
      </w:r>
      <w:r>
        <w:rPr>
          <w:b/>
        </w:rPr>
        <w:t xml:space="preserve">estritamente confidenciais</w:t>
      </w:r>
      <w:r>
        <w:t xml:space="preserve"> e pediremos a outras pessoas que interagem consigo durante a atividade que respeitem também a sua confidencialidade. </w:t>
      </w:r>
    </w:p>
    <w:p w14:paraId="717B584B" w14:textId="014AF068">
      <w:pPr>
        <w:pStyle w:val="P68B1DB1-ListParagraph7"/>
        <w:numPr>
          <w:ilvl w:val="0"/>
          <w:numId w:val="4"/>
        </w:numPr>
        <w:spacing w:after="0" w:line="240" w:lineRule="auto"/>
        <w:contextualSpacing w:val="0"/>
        <w:jc w:val="both"/>
      </w:pPr>
      <w:r>
        <w:t xml:space="preserve">Não há comentários ou citações associadas ao seu nome. Se a atividade exigir que utilizemos o seu nome (apenas nome próprio), imagem ou voz, explicar-lhe-emos isto e pedir-lhe-emos separadamente o seu consentimento e o dos seus pais ou tutores. </w:t>
      </w:r>
    </w:p>
    <w:p w14:paraId="23F72112" w14:textId="77777777">
      <w:pPr>
        <w:pStyle w:val="P68B1DB1-ListParagraph7"/>
        <w:numPr>
          <w:ilvl w:val="0"/>
          <w:numId w:val="4"/>
        </w:numPr>
        <w:spacing w:after="0" w:line="240" w:lineRule="auto"/>
        <w:contextualSpacing w:val="0"/>
        <w:jc w:val="both"/>
      </w:pPr>
      <w:r>
        <w:t xml:space="preserve">Se soubermos que o utilizador ou outra pessoa pode ser prejudicada, temos de partilhar as informações com outra pessoa para o proteger a si e a outras pessoas. </w:t>
      </w:r>
    </w:p>
    <w:p w14:paraId="5ABC71B3" w14:textId="77777777">
      <w:pPr>
        <w:spacing w:after="0" w:line="240" w:lineRule="auto"/>
        <w:jc w:val="both"/>
        <w:rPr>
          <w:rFonts w:ascii="Arial" w:hAnsi="Arial" w:cs="Arial"/>
        </w:rPr>
      </w:pPr>
    </w:p>
    <w:p w14:paraId="0A62C8C8" w14:textId="4FC3FDBE">
      <w:pPr>
        <w:pStyle w:val="P68B1DB1-Normal2"/>
        <w:spacing w:after="0" w:line="240" w:lineRule="auto"/>
        <w:jc w:val="both"/>
      </w:pPr>
      <w:r>
        <w:t xml:space="preserve">Para garantir que o utilizador e os seus pais ou tutores são informados sobre os tipos de atividades (entrevistas e grupos de reflexão), o seu envolvimento e a forma como utilizaríamos as suas informações, precisamos dos seus acordos e do consentimento por escrito dos seus pais ou tutores.</w:t>
      </w:r>
    </w:p>
    <w:p w14:paraId="0ABD5197" w14:textId="77777777">
      <w:pPr>
        <w:spacing w:after="0" w:line="240" w:lineRule="auto"/>
        <w:jc w:val="both"/>
        <w:rPr>
          <w:rFonts w:ascii="Arial" w:hAnsi="Arial" w:cs="Arial"/>
          <w:b/>
          <w:bCs/>
        </w:rPr>
      </w:pPr>
    </w:p>
    <w:p w14:paraId="559CA549" w14:textId="2F2C67AE">
      <w:pPr>
        <w:pStyle w:val="P68B1DB1-Normal1"/>
        <w:spacing w:after="0" w:line="240" w:lineRule="auto"/>
        <w:jc w:val="both"/>
        <w:rPr>
          <w:bCs/>
        </w:rPr>
      </w:pPr>
      <w:r>
        <w:t xml:space="preserve">Acordo de consentimento – Medidas de consulta sobre a Garantia Europeia para a Infância  </w:t>
      </w:r>
    </w:p>
    <w:p w14:paraId="757DC95E" w14:textId="77777777">
      <w:pPr>
        <w:spacing w:after="0" w:line="240" w:lineRule="auto"/>
        <w:jc w:val="both"/>
        <w:rPr>
          <w:rFonts w:ascii="Arial" w:hAnsi="Arial" w:cs="Arial"/>
        </w:rPr>
      </w:pPr>
    </w:p>
    <w:p w14:paraId="75A311E8" w14:textId="649A7BE9">
      <w:pPr>
        <w:pStyle w:val="P68B1DB1-Normal2"/>
        <w:spacing w:after="0" w:line="240" w:lineRule="auto"/>
        <w:jc w:val="both"/>
      </w:pPr>
      <w:r>
        <w:t xml:space="preserve">Gostaria de participar nesta atividade – uma entrevista e um debate de grupo.</w:t>
      </w:r>
    </w:p>
    <w:p w14:paraId="0BF2EDBE"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09E56ADA" w14:textId="77777777">
        <w:tc>
          <w:tcPr>
            <w:tcW w:w="704" w:type="dxa"/>
          </w:tcPr>
          <w:p w14:paraId="269C87A1"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SIM</w:t>
            </w:r>
          </w:p>
        </w:tc>
        <w:tc>
          <w:tcPr>
            <w:tcW w:w="851" w:type="dxa"/>
          </w:tcPr>
          <w:p w14:paraId="5E0BE88E"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21A2E493" w14:textId="77777777">
      <w:pPr>
        <w:spacing w:after="0" w:line="240" w:lineRule="auto"/>
        <w:jc w:val="both"/>
        <w:rPr>
          <w:rFonts w:ascii="Arial" w:hAnsi="Arial" w:cs="Arial"/>
        </w:rPr>
      </w:pPr>
    </w:p>
    <w:p w14:paraId="012792C8" w14:textId="39DD3A3B">
      <w:pPr>
        <w:spacing w:after="0" w:line="240" w:lineRule="auto"/>
        <w:jc w:val="both"/>
        <w:rPr>
          <w:rFonts w:ascii="Arial" w:hAnsi="Arial" w:cs="Arial"/>
        </w:rPr>
      </w:pPr>
      <w:r>
        <w:rPr>
          <w:rFonts w:ascii="Arial" w:hAnsi="Arial" w:cs="Arial"/>
        </w:rPr>
        <w:t xml:space="preserve">Concordo em participar na atividade da plataforma e autorizo o tratamento dos meus dados pessoais em conformidade com o </w:t>
      </w:r>
      <w:hyperlink w:history="1" w:anchor=":~:text=Regulation%20%28EU%29%202018%2F1725%20of%20the%20European%20Parliament%20and,and%20Decision%20No%201247%2F2002%2FEC%20%28Text%20with%20EEA%20relevance%29." r:id="rId19">
        <w:r>
          <w:rPr>
            <w:rStyle w:val="Hyperlink"/>
            <w:rFonts w:ascii="Arial" w:hAnsi="Arial" w:cs="Arial"/>
          </w:rPr>
          <w:t xml:space="preserve">Regulamento (UE) 2018/1725.</w:t>
        </w:r>
      </w:hyperlink>
      <w:r>
        <w:rPr>
          <w:rFonts w:ascii="Arial" w:hAnsi="Arial" w:cs="Arial"/>
        </w:rPr>
        <w:t xml:space="preserve"> </w:t>
      </w:r>
    </w:p>
    <w:p w14:paraId="6636A42F"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34DA7203" w14:textId="77777777">
        <w:tc>
          <w:tcPr>
            <w:tcW w:w="704" w:type="dxa"/>
          </w:tcPr>
          <w:p w14:paraId="0186669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SIM</w:t>
            </w:r>
          </w:p>
        </w:tc>
        <w:tc>
          <w:tcPr>
            <w:tcW w:w="851" w:type="dxa"/>
          </w:tcPr>
          <w:p w14:paraId="1C1A37C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DBEA241"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681"/>
        <w:gridCol w:w="5335"/>
      </w:tblGrid>
      <w:tr w14:paraId="030A5017" w14:textId="77777777">
        <w:tc>
          <w:tcPr>
            <w:tcW w:w="3681" w:type="dxa"/>
          </w:tcPr>
          <w:p w14:paraId="3B85D720" w14:textId="56819448">
            <w:pPr>
              <w:pStyle w:val="P68B1DB1-paragraph8"/>
              <w:spacing w:before="0" w:beforeAutospacing="0" w:after="0" w:afterAutospacing="0"/>
              <w:jc w:val="both"/>
              <w:textAlignment w:val="baseline"/>
            </w:pPr>
            <w:r>
              <w:t>Nome:</w:t>
            </w:r>
          </w:p>
        </w:tc>
        <w:tc>
          <w:tcPr>
            <w:tcW w:w="5335" w:type="dxa"/>
          </w:tcPr>
          <w:p w14:paraId="189ABB2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1FE7D4F" w14:textId="77777777">
        <w:tc>
          <w:tcPr>
            <w:tcW w:w="3681" w:type="dxa"/>
          </w:tcPr>
          <w:p w14:paraId="0DB1E8E1" w14:textId="1C8277DB">
            <w:pPr>
              <w:pStyle w:val="P68B1DB1-paragraph8"/>
              <w:spacing w:before="0" w:beforeAutospacing="0" w:after="0" w:afterAutospacing="0"/>
              <w:jc w:val="both"/>
              <w:textAlignment w:val="baseline"/>
            </w:pPr>
            <w:r>
              <w:t xml:space="preserve">Data: </w:t>
            </w:r>
          </w:p>
        </w:tc>
        <w:tc>
          <w:tcPr>
            <w:tcW w:w="5335" w:type="dxa"/>
          </w:tcPr>
          <w:p w14:paraId="7D3FC1E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5DFACA8" w14:textId="77777777">
        <w:tc>
          <w:tcPr>
            <w:tcW w:w="3681" w:type="dxa"/>
          </w:tcPr>
          <w:p w14:paraId="3DAF2712" w14:textId="77777777">
            <w:pPr>
              <w:pStyle w:val="P68B1DB1-paragraph8"/>
              <w:spacing w:before="0" w:beforeAutospacing="0" w:after="0" w:afterAutospacing="0"/>
              <w:jc w:val="both"/>
              <w:textAlignment w:val="baseline"/>
            </w:pPr>
            <w:r>
              <w:t>Assinatura:</w:t>
            </w:r>
          </w:p>
        </w:tc>
        <w:tc>
          <w:tcPr>
            <w:tcW w:w="5335" w:type="dxa"/>
          </w:tcPr>
          <w:p w14:paraId="037AB789"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E5787A5" w14:textId="77777777">
      <w:pPr>
        <w:pStyle w:val="paragraph"/>
        <w:spacing w:before="0" w:beforeAutospacing="0" w:after="0" w:afterAutospacing="0"/>
        <w:jc w:val="both"/>
        <w:textAlignment w:val="baseline"/>
        <w:rPr>
          <w:rFonts w:ascii="Arial" w:hAnsi="Arial" w:cs="Arial"/>
          <w:sz w:val="22"/>
          <w:szCs w:val="22"/>
        </w:rPr>
      </w:pPr>
    </w:p>
    <w:p w14:paraId="34EC7429" w14:textId="77777777">
      <w:pPr>
        <w:pStyle w:val="paragraph"/>
        <w:spacing w:before="0" w:beforeAutospacing="0" w:after="0" w:afterAutospacing="0"/>
        <w:jc w:val="both"/>
        <w:textAlignment w:val="baseline"/>
        <w:rPr>
          <w:rFonts w:ascii="Arial" w:hAnsi="Arial" w:cs="Arial"/>
          <w:sz w:val="22"/>
          <w:szCs w:val="22"/>
        </w:rPr>
      </w:pPr>
    </w:p>
    <w:sectPr>
      <w:footerReference w:type="default" r:id="rId20"/>
      <w:pgSz w:w="11906" w:h="16838" w:orient="portrait"/>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J" w:author="Barbara Janta" w:date="2024-03-07T15:46:00Z" w:id="1">
    <w:p w14:paraId="63BC5200" w14:textId="3F527523">
      <w:pPr>
        <w:pStyle w:val="CommentText"/>
      </w:pPr>
      <w:r>
        <w:rPr>
          <w:rStyle w:val="CommentReference"/>
        </w:rPr>
        <w:annotationRef/>
      </w:r>
      <w:r>
        <w:t xml:space="preserve">Indique o seu nome/nome do diretor executivo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C52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74F57" w16cex:dateUtc="2024-03-07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C5200" w16cid:durableId="3F174F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D0EE" w14:textId="77777777">
      <w:pPr>
        <w:spacing w:after="0" w:line="240" w:lineRule="auto"/>
      </w:pPr>
      <w:r>
        <w:separator/>
      </w:r>
    </w:p>
  </w:endnote>
  <w:endnote w:type="continuationSeparator" w:id="0">
    <w:p w14:paraId="62022555" w14:textId="77777777">
      <w:pPr>
        <w:spacing w:after="0" w:line="240" w:lineRule="auto"/>
      </w:pPr>
      <w:r>
        <w:continuationSeparator/>
      </w:r>
    </w:p>
  </w:endnote>
  <w:endnote w:type="continuationNotice" w:id="1">
    <w:p w14:paraId="67D400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pStyle w:val="P68B1DB1-Normal9"/>
            <w:spacing w:after="0" w:line="240" w:lineRule="auto"/>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Imagem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pStyle w:val="P68B1DB1-Normal10"/>
            <w:spacing w:after="0" w:line="240" w:lineRule="auto"/>
            <w:rPr>
              <w:rFonts w:ascii="Calibri" w:hAnsi="Calibri"/>
              <w:color w:val="1F497D"/>
            </w:rPr>
          </w:pPr>
          <w:r>
            <w:t xml:space="preserve">«Criação, gestão e coordenação da Plataforma da UE para a Participação das Crianças» é um contrato de prestação de serviços da União Europeia. Número do contrato: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8A7F" w14:textId="77777777">
      <w:pPr>
        <w:spacing w:after="0" w:line="240" w:lineRule="auto"/>
      </w:pPr>
      <w:r>
        <w:separator/>
      </w:r>
    </w:p>
  </w:footnote>
  <w:footnote w:type="continuationSeparator" w:id="0">
    <w:p w14:paraId="16370228" w14:textId="77777777">
      <w:pPr>
        <w:spacing w:after="0" w:line="240" w:lineRule="auto"/>
      </w:pPr>
      <w:r>
        <w:continuationSeparator/>
      </w:r>
    </w:p>
  </w:footnote>
  <w:footnote w:type="continuationNotice" w:id="1">
    <w:p w14:paraId="41AC68E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87D"/>
    <w:multiLevelType w:val="hybridMultilevel"/>
    <w:tmpl w:val="2C9E1688"/>
    <w:lvl w:ilvl="0" w:tplc="C5B444C2">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725155D"/>
    <w:multiLevelType w:val="hybridMultilevel"/>
    <w:tmpl w:val="B0623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3" w15:restartNumberingAfterBreak="0">
    <w:nsid w:val="2AEC4B05"/>
    <w:multiLevelType w:val="hybridMultilevel"/>
    <w:tmpl w:val="8EB09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CF66A3"/>
    <w:multiLevelType w:val="hybridMultilevel"/>
    <w:tmpl w:val="7F6E4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993063"/>
    <w:multiLevelType w:val="hybridMultilevel"/>
    <w:tmpl w:val="2A149A3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1C608C9"/>
    <w:multiLevelType w:val="hybridMultilevel"/>
    <w:tmpl w:val="01F21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9"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10" w15:restartNumberingAfterBreak="0">
    <w:nsid w:val="4F1061FA"/>
    <w:multiLevelType w:val="hybridMultilevel"/>
    <w:tmpl w:val="0C7C6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12" w15:restartNumberingAfterBreak="0">
    <w:nsid w:val="5A496967"/>
    <w:multiLevelType w:val="hybridMultilevel"/>
    <w:tmpl w:val="CA40B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BD42B3F"/>
    <w:multiLevelType w:val="hybridMultilevel"/>
    <w:tmpl w:val="89EA6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0242038"/>
    <w:multiLevelType w:val="hybridMultilevel"/>
    <w:tmpl w:val="5D96D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16" w15:restartNumberingAfterBreak="0">
    <w:nsid w:val="70194A1C"/>
    <w:multiLevelType w:val="hybridMultilevel"/>
    <w:tmpl w:val="CA8C17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6E61EB6"/>
    <w:multiLevelType w:val="hybridMultilevel"/>
    <w:tmpl w:val="BEB23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702844">
    <w:abstractNumId w:val="12"/>
  </w:num>
  <w:num w:numId="2" w16cid:durableId="1804418746">
    <w:abstractNumId w:val="4"/>
  </w:num>
  <w:num w:numId="3" w16cid:durableId="1785491410">
    <w:abstractNumId w:val="3"/>
  </w:num>
  <w:num w:numId="4" w16cid:durableId="623538305">
    <w:abstractNumId w:val="17"/>
  </w:num>
  <w:num w:numId="5" w16cid:durableId="94205208">
    <w:abstractNumId w:val="13"/>
  </w:num>
  <w:num w:numId="6" w16cid:durableId="355884349">
    <w:abstractNumId w:val="7"/>
  </w:num>
  <w:num w:numId="7" w16cid:durableId="460223378">
    <w:abstractNumId w:val="0"/>
  </w:num>
  <w:num w:numId="8" w16cid:durableId="542987102">
    <w:abstractNumId w:val="0"/>
  </w:num>
  <w:num w:numId="9" w16cid:durableId="899436398">
    <w:abstractNumId w:val="18"/>
  </w:num>
  <w:num w:numId="10" w16cid:durableId="1806893344">
    <w:abstractNumId w:val="14"/>
  </w:num>
  <w:num w:numId="11" w16cid:durableId="367611250">
    <w:abstractNumId w:val="8"/>
  </w:num>
  <w:num w:numId="12" w16cid:durableId="472599210">
    <w:abstractNumId w:val="5"/>
  </w:num>
  <w:num w:numId="13" w16cid:durableId="1246108325">
    <w:abstractNumId w:val="16"/>
  </w:num>
  <w:num w:numId="14" w16cid:durableId="1408918935">
    <w:abstractNumId w:val="1"/>
  </w:num>
  <w:num w:numId="15" w16cid:durableId="1453940584">
    <w:abstractNumId w:val="11"/>
  </w:num>
  <w:num w:numId="16" w16cid:durableId="1736926831">
    <w:abstractNumId w:val="2"/>
  </w:num>
  <w:num w:numId="17" w16cid:durableId="1459835104">
    <w:abstractNumId w:val="15"/>
  </w:num>
  <w:num w:numId="18" w16cid:durableId="2103525594">
    <w:abstractNumId w:val="9"/>
  </w:num>
  <w:num w:numId="19" w16cid:durableId="1122648883">
    <w:abstractNumId w:val="6"/>
  </w:num>
  <w:num w:numId="20" w16cid:durableId="13992876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275D"/>
    <w:rsid w:val="000060E1"/>
    <w:rsid w:val="000175DA"/>
    <w:rsid w:val="00026FDD"/>
    <w:rsid w:val="0003668C"/>
    <w:rsid w:val="00040719"/>
    <w:rsid w:val="00047300"/>
    <w:rsid w:val="00051E7B"/>
    <w:rsid w:val="00087363"/>
    <w:rsid w:val="00087BFA"/>
    <w:rsid w:val="00087D64"/>
    <w:rsid w:val="000B3A1D"/>
    <w:rsid w:val="000E431B"/>
    <w:rsid w:val="000E6559"/>
    <w:rsid w:val="000F3EA5"/>
    <w:rsid w:val="000F514C"/>
    <w:rsid w:val="000F63A4"/>
    <w:rsid w:val="0011391E"/>
    <w:rsid w:val="001219DB"/>
    <w:rsid w:val="00131D5C"/>
    <w:rsid w:val="00156C6C"/>
    <w:rsid w:val="00165D56"/>
    <w:rsid w:val="001804F4"/>
    <w:rsid w:val="00182FDE"/>
    <w:rsid w:val="00184F8A"/>
    <w:rsid w:val="0019484E"/>
    <w:rsid w:val="001956DC"/>
    <w:rsid w:val="001A486C"/>
    <w:rsid w:val="001B151E"/>
    <w:rsid w:val="001C3DAB"/>
    <w:rsid w:val="001C7611"/>
    <w:rsid w:val="001E3550"/>
    <w:rsid w:val="001F6F81"/>
    <w:rsid w:val="00201F79"/>
    <w:rsid w:val="00210571"/>
    <w:rsid w:val="00212FB9"/>
    <w:rsid w:val="002131EC"/>
    <w:rsid w:val="00227B15"/>
    <w:rsid w:val="00232CF2"/>
    <w:rsid w:val="00251D18"/>
    <w:rsid w:val="0025266D"/>
    <w:rsid w:val="00261B7A"/>
    <w:rsid w:val="002679F6"/>
    <w:rsid w:val="0027279C"/>
    <w:rsid w:val="00274306"/>
    <w:rsid w:val="0028047B"/>
    <w:rsid w:val="002848C6"/>
    <w:rsid w:val="002A0A44"/>
    <w:rsid w:val="002A4F3B"/>
    <w:rsid w:val="002B6EFC"/>
    <w:rsid w:val="002C55B3"/>
    <w:rsid w:val="002C6C60"/>
    <w:rsid w:val="002D18C1"/>
    <w:rsid w:val="002E0BB6"/>
    <w:rsid w:val="002E42A6"/>
    <w:rsid w:val="002E744D"/>
    <w:rsid w:val="002F2D9B"/>
    <w:rsid w:val="002F3B2E"/>
    <w:rsid w:val="00307C6B"/>
    <w:rsid w:val="00324C3D"/>
    <w:rsid w:val="00354763"/>
    <w:rsid w:val="00364C2F"/>
    <w:rsid w:val="00366980"/>
    <w:rsid w:val="00381DE5"/>
    <w:rsid w:val="003859AC"/>
    <w:rsid w:val="00385F26"/>
    <w:rsid w:val="00387812"/>
    <w:rsid w:val="003A73A8"/>
    <w:rsid w:val="003C097B"/>
    <w:rsid w:val="003C0A59"/>
    <w:rsid w:val="003D2835"/>
    <w:rsid w:val="003D70D0"/>
    <w:rsid w:val="003E2DAC"/>
    <w:rsid w:val="003E34F5"/>
    <w:rsid w:val="003E461C"/>
    <w:rsid w:val="003E4B8A"/>
    <w:rsid w:val="003F0983"/>
    <w:rsid w:val="003F2812"/>
    <w:rsid w:val="004039D3"/>
    <w:rsid w:val="00406D4A"/>
    <w:rsid w:val="004105A0"/>
    <w:rsid w:val="00424DBD"/>
    <w:rsid w:val="0042685B"/>
    <w:rsid w:val="00430D78"/>
    <w:rsid w:val="00444A78"/>
    <w:rsid w:val="00450FC2"/>
    <w:rsid w:val="004618EA"/>
    <w:rsid w:val="00471F42"/>
    <w:rsid w:val="00473828"/>
    <w:rsid w:val="004755D3"/>
    <w:rsid w:val="00483C09"/>
    <w:rsid w:val="0049051D"/>
    <w:rsid w:val="00495D6B"/>
    <w:rsid w:val="004B2260"/>
    <w:rsid w:val="004B5AC8"/>
    <w:rsid w:val="004B65EF"/>
    <w:rsid w:val="004C4FAC"/>
    <w:rsid w:val="004E4589"/>
    <w:rsid w:val="004F368B"/>
    <w:rsid w:val="004F4CC0"/>
    <w:rsid w:val="004F6E00"/>
    <w:rsid w:val="00504EE9"/>
    <w:rsid w:val="00507E70"/>
    <w:rsid w:val="00510FED"/>
    <w:rsid w:val="00514296"/>
    <w:rsid w:val="0054339D"/>
    <w:rsid w:val="0054630D"/>
    <w:rsid w:val="0054693D"/>
    <w:rsid w:val="005469A6"/>
    <w:rsid w:val="005507D5"/>
    <w:rsid w:val="005522D0"/>
    <w:rsid w:val="00554D02"/>
    <w:rsid w:val="005A1ED3"/>
    <w:rsid w:val="005A556E"/>
    <w:rsid w:val="005D0BD2"/>
    <w:rsid w:val="005D658F"/>
    <w:rsid w:val="005F252B"/>
    <w:rsid w:val="0060405D"/>
    <w:rsid w:val="0061165C"/>
    <w:rsid w:val="00613E59"/>
    <w:rsid w:val="00616392"/>
    <w:rsid w:val="00636691"/>
    <w:rsid w:val="00647A25"/>
    <w:rsid w:val="00656112"/>
    <w:rsid w:val="006617C0"/>
    <w:rsid w:val="006620C4"/>
    <w:rsid w:val="00665F2E"/>
    <w:rsid w:val="00680D8C"/>
    <w:rsid w:val="00681374"/>
    <w:rsid w:val="006A35BB"/>
    <w:rsid w:val="006A7C73"/>
    <w:rsid w:val="006B208E"/>
    <w:rsid w:val="006B628F"/>
    <w:rsid w:val="006C5FAD"/>
    <w:rsid w:val="006D194A"/>
    <w:rsid w:val="006D1D77"/>
    <w:rsid w:val="006E5C0A"/>
    <w:rsid w:val="006F5852"/>
    <w:rsid w:val="007046B9"/>
    <w:rsid w:val="00717808"/>
    <w:rsid w:val="00720979"/>
    <w:rsid w:val="00724386"/>
    <w:rsid w:val="00732257"/>
    <w:rsid w:val="00733C3F"/>
    <w:rsid w:val="007460E1"/>
    <w:rsid w:val="00753542"/>
    <w:rsid w:val="00755E61"/>
    <w:rsid w:val="0076650B"/>
    <w:rsid w:val="007733DC"/>
    <w:rsid w:val="00776716"/>
    <w:rsid w:val="00793387"/>
    <w:rsid w:val="007947C2"/>
    <w:rsid w:val="007A084F"/>
    <w:rsid w:val="007A566A"/>
    <w:rsid w:val="007A5CC4"/>
    <w:rsid w:val="007B690D"/>
    <w:rsid w:val="007C19A4"/>
    <w:rsid w:val="007C508B"/>
    <w:rsid w:val="007D4B24"/>
    <w:rsid w:val="007F3BC7"/>
    <w:rsid w:val="007F67C7"/>
    <w:rsid w:val="00807D48"/>
    <w:rsid w:val="00820ECE"/>
    <w:rsid w:val="00832509"/>
    <w:rsid w:val="0083675E"/>
    <w:rsid w:val="0083742E"/>
    <w:rsid w:val="00837A97"/>
    <w:rsid w:val="00844DF9"/>
    <w:rsid w:val="00847C45"/>
    <w:rsid w:val="00855C3C"/>
    <w:rsid w:val="00860428"/>
    <w:rsid w:val="00861D4D"/>
    <w:rsid w:val="0087125B"/>
    <w:rsid w:val="0088054C"/>
    <w:rsid w:val="00882B1D"/>
    <w:rsid w:val="00883A13"/>
    <w:rsid w:val="00893716"/>
    <w:rsid w:val="008C2D6A"/>
    <w:rsid w:val="008D5907"/>
    <w:rsid w:val="008F2DD9"/>
    <w:rsid w:val="00910AC2"/>
    <w:rsid w:val="00927FA7"/>
    <w:rsid w:val="0093551C"/>
    <w:rsid w:val="0094545A"/>
    <w:rsid w:val="00950B6A"/>
    <w:rsid w:val="0095288F"/>
    <w:rsid w:val="0095660D"/>
    <w:rsid w:val="00971262"/>
    <w:rsid w:val="00990C1D"/>
    <w:rsid w:val="009B1349"/>
    <w:rsid w:val="009B44FB"/>
    <w:rsid w:val="009C6519"/>
    <w:rsid w:val="009D2DCB"/>
    <w:rsid w:val="009F5367"/>
    <w:rsid w:val="00A0133A"/>
    <w:rsid w:val="00A0429C"/>
    <w:rsid w:val="00A073D9"/>
    <w:rsid w:val="00A10168"/>
    <w:rsid w:val="00A13E4A"/>
    <w:rsid w:val="00A1440A"/>
    <w:rsid w:val="00A2183A"/>
    <w:rsid w:val="00A230D6"/>
    <w:rsid w:val="00A34A5B"/>
    <w:rsid w:val="00A35FCE"/>
    <w:rsid w:val="00A36533"/>
    <w:rsid w:val="00A43A88"/>
    <w:rsid w:val="00A45DA4"/>
    <w:rsid w:val="00A53766"/>
    <w:rsid w:val="00A566A6"/>
    <w:rsid w:val="00A5764E"/>
    <w:rsid w:val="00A635BB"/>
    <w:rsid w:val="00A67235"/>
    <w:rsid w:val="00A95346"/>
    <w:rsid w:val="00A95582"/>
    <w:rsid w:val="00AB3871"/>
    <w:rsid w:val="00AB6A9C"/>
    <w:rsid w:val="00AC5830"/>
    <w:rsid w:val="00AD0C06"/>
    <w:rsid w:val="00AD334E"/>
    <w:rsid w:val="00AD4BEA"/>
    <w:rsid w:val="00AD5570"/>
    <w:rsid w:val="00AD6F9A"/>
    <w:rsid w:val="00B13665"/>
    <w:rsid w:val="00B166E0"/>
    <w:rsid w:val="00B23FC9"/>
    <w:rsid w:val="00B26C48"/>
    <w:rsid w:val="00B41AB2"/>
    <w:rsid w:val="00B41EB4"/>
    <w:rsid w:val="00B5435F"/>
    <w:rsid w:val="00B56B72"/>
    <w:rsid w:val="00B63E46"/>
    <w:rsid w:val="00B704F1"/>
    <w:rsid w:val="00B742B6"/>
    <w:rsid w:val="00B77F7D"/>
    <w:rsid w:val="00B8440E"/>
    <w:rsid w:val="00B965B0"/>
    <w:rsid w:val="00B97A5B"/>
    <w:rsid w:val="00BA4280"/>
    <w:rsid w:val="00BB0021"/>
    <w:rsid w:val="00BB73E3"/>
    <w:rsid w:val="00BC4096"/>
    <w:rsid w:val="00BD76FC"/>
    <w:rsid w:val="00BE2F09"/>
    <w:rsid w:val="00BF285C"/>
    <w:rsid w:val="00BF3CC3"/>
    <w:rsid w:val="00BF482A"/>
    <w:rsid w:val="00BF66AC"/>
    <w:rsid w:val="00C0370B"/>
    <w:rsid w:val="00C04CFE"/>
    <w:rsid w:val="00C17387"/>
    <w:rsid w:val="00C21873"/>
    <w:rsid w:val="00C24532"/>
    <w:rsid w:val="00C31999"/>
    <w:rsid w:val="00C42C6D"/>
    <w:rsid w:val="00C435C3"/>
    <w:rsid w:val="00C43A7F"/>
    <w:rsid w:val="00C467AB"/>
    <w:rsid w:val="00C5635C"/>
    <w:rsid w:val="00C572DC"/>
    <w:rsid w:val="00C67FFA"/>
    <w:rsid w:val="00C70F83"/>
    <w:rsid w:val="00C74575"/>
    <w:rsid w:val="00C9026A"/>
    <w:rsid w:val="00C958F7"/>
    <w:rsid w:val="00CA48CD"/>
    <w:rsid w:val="00CC0D85"/>
    <w:rsid w:val="00CC1DBF"/>
    <w:rsid w:val="00CC688A"/>
    <w:rsid w:val="00CD61BC"/>
    <w:rsid w:val="00CE2A31"/>
    <w:rsid w:val="00CF4109"/>
    <w:rsid w:val="00CF63DE"/>
    <w:rsid w:val="00D27853"/>
    <w:rsid w:val="00D30288"/>
    <w:rsid w:val="00D40CAC"/>
    <w:rsid w:val="00D51E33"/>
    <w:rsid w:val="00D606BA"/>
    <w:rsid w:val="00D672BA"/>
    <w:rsid w:val="00D71F7A"/>
    <w:rsid w:val="00D73ECF"/>
    <w:rsid w:val="00D77A02"/>
    <w:rsid w:val="00DB0D95"/>
    <w:rsid w:val="00DC5DD4"/>
    <w:rsid w:val="00DD0A0F"/>
    <w:rsid w:val="00DD2C03"/>
    <w:rsid w:val="00DD64B8"/>
    <w:rsid w:val="00DE1E71"/>
    <w:rsid w:val="00DE39A5"/>
    <w:rsid w:val="00DE3E57"/>
    <w:rsid w:val="00DE4FA1"/>
    <w:rsid w:val="00DE6417"/>
    <w:rsid w:val="00DF178D"/>
    <w:rsid w:val="00DF5162"/>
    <w:rsid w:val="00E06E84"/>
    <w:rsid w:val="00E112B6"/>
    <w:rsid w:val="00E12C83"/>
    <w:rsid w:val="00E15B20"/>
    <w:rsid w:val="00E25779"/>
    <w:rsid w:val="00E26A1B"/>
    <w:rsid w:val="00E310A4"/>
    <w:rsid w:val="00E344F6"/>
    <w:rsid w:val="00E35F01"/>
    <w:rsid w:val="00E4458C"/>
    <w:rsid w:val="00E53979"/>
    <w:rsid w:val="00E73DD4"/>
    <w:rsid w:val="00E74C8B"/>
    <w:rsid w:val="00E85DC8"/>
    <w:rsid w:val="00E902A6"/>
    <w:rsid w:val="00E9225E"/>
    <w:rsid w:val="00E94D25"/>
    <w:rsid w:val="00E94F00"/>
    <w:rsid w:val="00EB6E32"/>
    <w:rsid w:val="00EE732A"/>
    <w:rsid w:val="00EF793D"/>
    <w:rsid w:val="00F0026E"/>
    <w:rsid w:val="00F109B2"/>
    <w:rsid w:val="00F11887"/>
    <w:rsid w:val="00F144C4"/>
    <w:rsid w:val="00F34AA9"/>
    <w:rsid w:val="00F47B7A"/>
    <w:rsid w:val="00F54E58"/>
    <w:rsid w:val="00F57282"/>
    <w:rsid w:val="00F75B5C"/>
    <w:rsid w:val="00F846E3"/>
    <w:rsid w:val="00F86A29"/>
    <w:rsid w:val="00FA1747"/>
    <w:rsid w:val="00FC2C15"/>
    <w:rsid w:val="00FC7E8B"/>
    <w:rsid w:val="00FE12B9"/>
    <w:rsid w:val="00FE3417"/>
    <w:rsid w:val="00FE4805"/>
    <w:rsid w:val="00FE6F3E"/>
    <w:rsid w:val="05088B9E"/>
    <w:rsid w:val="06B8C69D"/>
    <w:rsid w:val="084294D8"/>
    <w:rsid w:val="0A325214"/>
    <w:rsid w:val="0F706831"/>
    <w:rsid w:val="0F7A6BD2"/>
    <w:rsid w:val="116F6C6E"/>
    <w:rsid w:val="16E8E9A4"/>
    <w:rsid w:val="1752E3F8"/>
    <w:rsid w:val="19F9AB2E"/>
    <w:rsid w:val="1D08CB73"/>
    <w:rsid w:val="1E541ECD"/>
    <w:rsid w:val="26E5951B"/>
    <w:rsid w:val="29F67C9E"/>
    <w:rsid w:val="2AFEFDED"/>
    <w:rsid w:val="32C2C4CC"/>
    <w:rsid w:val="389FC6C2"/>
    <w:rsid w:val="3A301DC8"/>
    <w:rsid w:val="3A3B9723"/>
    <w:rsid w:val="3A4C3788"/>
    <w:rsid w:val="3BE807E9"/>
    <w:rsid w:val="3CDFF2A2"/>
    <w:rsid w:val="3D64C095"/>
    <w:rsid w:val="3E54AFFF"/>
    <w:rsid w:val="3FBCCA99"/>
    <w:rsid w:val="4128F086"/>
    <w:rsid w:val="4132C8D6"/>
    <w:rsid w:val="41643C2A"/>
    <w:rsid w:val="4300241E"/>
    <w:rsid w:val="43C0816E"/>
    <w:rsid w:val="45B03F7A"/>
    <w:rsid w:val="4BE00509"/>
    <w:rsid w:val="4D0F8D7C"/>
    <w:rsid w:val="50B0C586"/>
    <w:rsid w:val="515D625E"/>
    <w:rsid w:val="51A7FB67"/>
    <w:rsid w:val="51D75F71"/>
    <w:rsid w:val="520FD1FC"/>
    <w:rsid w:val="53512443"/>
    <w:rsid w:val="55D538FC"/>
    <w:rsid w:val="5B116688"/>
    <w:rsid w:val="5E077871"/>
    <w:rsid w:val="5FCE969C"/>
    <w:rsid w:val="6763525F"/>
    <w:rsid w:val="680097E4"/>
    <w:rsid w:val="6826B13A"/>
    <w:rsid w:val="6FC030F7"/>
    <w:rsid w:val="74E2CB2B"/>
    <w:rsid w:val="75CFBCA0"/>
    <w:rsid w:val="75EF2AD4"/>
    <w:rsid w:val="76922FB9"/>
    <w:rsid w:val="76E655C5"/>
    <w:rsid w:val="76E6D272"/>
    <w:rsid w:val="7AA084F3"/>
    <w:rsid w:val="7DF0A533"/>
    <w:rsid w:val="7EEB82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42297BB9-E532-42C0-BB8C-BC1B91066C2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pt"/>
      </w:rPr>
    </w:r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styleId="paragraph" w:customStyle="1">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styleId="normaltextrun" w:customStyle="1">
    <w:name w:val="normaltextrun"/>
    <w:basedOn w:val="DefaultParagraphFont"/>
    <w:rsid w:val="00BF3CC3"/>
  </w:style>
  <w:style w:type="character" w:styleId="eop" w:customStyle="1">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styleId="CommentTextChar" w:customStyle="1">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styleId="CommentSubjectChar" w:customStyle="1">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styleId="Heading2Char" w:customStyle="1">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6A35BB"/>
    <w:pPr>
      <w:spacing w:after="0" w:line="240" w:lineRule="auto"/>
    </w:pPr>
  </w:style>
  <w:style w:type="paragraph" w:styleId="P68B1DB1-Normal1" w:customStyle="1">
    <w:name w:val="P68B1DB1-Normal1"/>
    <w:basedOn w:val="Normal"/>
    <w:rPr>
      <w:rFonts w:ascii="Arial" w:hAnsi="Arial" w:cs="Arial"/>
      <w:b/>
    </w:rPr>
  </w:style>
  <w:style w:type="paragraph" w:styleId="P68B1DB1-Normal2" w:customStyle="1">
    <w:name w:val="P68B1DB1-Normal2"/>
    <w:basedOn w:val="Normal"/>
    <w:rPr>
      <w:rFonts w:ascii="Arial" w:hAnsi="Arial" w:cs="Arial"/>
    </w:rPr>
  </w:style>
  <w:style w:type="paragraph" w:styleId="P68B1DB1-Normal3" w:customStyle="1">
    <w:name w:val="P68B1DB1-Normal3"/>
    <w:basedOn w:val="Normal"/>
    <w:rPr>
      <w:rFonts w:ascii="Arial" w:hAnsi="Arial" w:cs="Arial"/>
      <w:b/>
      <w:color w:val="1F3864" w:themeColor="accent1" w:themeShade="80"/>
    </w:rPr>
  </w:style>
  <w:style w:type="paragraph" w:styleId="P68B1DB1-Normal4" w:customStyle="1">
    <w:name w:val="P68B1DB1-Normal4"/>
    <w:basedOn w:val="Normal"/>
    <w:rPr>
      <w:rFonts w:ascii="Arial" w:hAnsi="Arial" w:cs="Arial" w:eastAsia="Times New Roman"/>
      <w:b/>
    </w:rPr>
  </w:style>
  <w:style w:type="paragraph" w:styleId="P68B1DB1-Normal5" w:customStyle="1">
    <w:name w:val="P68B1DB1-Normal5"/>
    <w:basedOn w:val="Normal"/>
    <w:rPr>
      <w:rFonts w:ascii="Arial" w:hAnsi="Arial" w:cs="Arial" w:eastAsia="Times New Roman"/>
    </w:rPr>
  </w:style>
  <w:style w:type="paragraph" w:styleId="P68B1DB1-ListParagraph6" w:customStyle="1">
    <w:name w:val="P68B1DB1-ListParagraph6"/>
    <w:basedOn w:val="ListParagraph"/>
    <w:rPr>
      <w:rFonts w:cs="Arial"/>
    </w:rPr>
  </w:style>
  <w:style w:type="paragraph" w:styleId="P68B1DB1-ListParagraph7" w:customStyle="1">
    <w:name w:val="P68B1DB1-ListParagraph7"/>
    <w:basedOn w:val="ListParagraph"/>
    <w:rPr>
      <w:rFonts w:cs="Arial"/>
      <w:szCs w:val="22"/>
    </w:rPr>
  </w:style>
  <w:style w:type="paragraph" w:styleId="P68B1DB1-paragraph8" w:customStyle="1">
    <w:name w:val="P68B1DB1-paragraph8"/>
    <w:basedOn w:val="paragraph"/>
    <w:rPr>
      <w:rFonts w:ascii="Arial" w:hAnsi="Arial" w:cs="Arial"/>
      <w:sz w:val="22"/>
      <w:szCs w:val="22"/>
    </w:rPr>
  </w:style>
  <w:style w:type="paragraph" w:styleId="P68B1DB1-Normal9" w:customStyle="1">
    <w:name w:val="P68B1DB1-Normal9"/>
    <w:basedOn w:val="Normal"/>
    <w:rPr>
      <w:rFonts w:ascii="Verdana" w:hAnsi="Verdana"/>
      <w:color w:val="444444"/>
      <w:sz w:val="15"/>
      <w:szCs w:val="15"/>
    </w:rPr>
  </w:style>
  <w:style w:type="paragraph" w:styleId="P68B1DB1-Normal10" w:customStyle="1">
    <w:name w:val="P68B1DB1-Normal10"/>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ppsafeguarding@icf.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ployment-social-affairs.ec.europa.eu/document/download/5307cc11-6413-482c-84f4-17d4b5ef97a6_en"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ps.europa.eu/data-protection/our-work/publications/legislation/regulation-eu-20181725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 Id="R11cbeaf981524810" Type="http://schemas.openxmlformats.org/officeDocument/2006/relationships/hyperlink" Target="mailto:cppsafeguarding@icf.com" TargetMode="External"/><Relationship Id="Rf91b01bf6a344630" Type="http://schemas.openxmlformats.org/officeDocument/2006/relationships/hyperlink" Target="mailto:EU-CHILDPARTICIPATION@ec.europ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Props1.xml><?xml version="1.0" encoding="utf-8"?>
<ds:datastoreItem xmlns:ds="http://schemas.openxmlformats.org/officeDocument/2006/customXml" ds:itemID="{5ECB1D5E-4582-4543-AD62-A801CCB68DEE}"/>
</file>

<file path=customXml/itemProps2.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customXml/itemProps3.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4.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Jake Oliver</cp:lastModifiedBy>
  <cp:revision>4</cp:revision>
  <dcterms:created xsi:type="dcterms:W3CDTF">2025-10-06T21:21:00Z</dcterms:created>
  <dcterms:modified xsi:type="dcterms:W3CDTF">2025-10-13T11:31:35Z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4ad5f5dd2aecb975136f3d4cedf8fe4e27d0c0f4b27d5d5e2ae77ebafad8741d</vt:lpwstr>
  </property>
</Properties>
</file>