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Anexa 3 Formular de consimțământ de consultare pentru copii</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Formular de consimțământ pentru copii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Participarea la interviuri și focus grupuri</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Bună ziua acolo!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Lucrăm cu Platforma de Implicare a Copiilor (Platforma), un loc sigur pentru toți copiii de a împărtăși cu factorii de decizie ceea ce cred despre problemele importante care le afectează viața. Această platformă va fi creată în strânsă cooperare cu Comisia Europeană.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Vă vom furniza acest formular de consimțământ deoarece am dori să vă invităm să participați la activitatea de consultare organizată de platformă.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Înainte de a vă decide, este important să știți despre ce este vorba în consultanță și care este implicarea și contribuția dvs.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Descrierea generală a activităților platformei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Platforma oferă activități interactive serioase și distractive pentru copii pentru a-și împărtăși opiniile, ideile și experiențele pe teme care contează pentru ei. Aceasta ar putea include participarea la sondaje, participarea la interviuri și discuții de grup, participarea la sondaje, partajarea desenelor sau a poveștilor și multe altele. Participarea este voluntară, iar copilul/tânărul poate înceta participarea în orice moment.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Despre ce sunt consultările? </w:t>
      </w:r>
    </w:p>
    <w:p w14:paraId="690191F4" w14:textId="77777777">
      <w:pPr>
        <w:spacing w:after="0"/>
        <w:jc w:val="both"/>
        <w:rPr>
          <w:rFonts w:ascii="Arial" w:hAnsi="Arial" w:cs="Arial"/>
        </w:rPr>
      </w:pPr>
    </w:p>
    <w:p w14:paraId="10338ADF" w14:textId="43779C34">
      <w:pPr>
        <w:pStyle w:val="P68B1DB1-Normal2"/>
      </w:pPr>
      <w:r>
        <w:t xml:space="preserve">Consultarea este un proces în care un adult vă adresează întrebări, astfel încât să poată afla mai multe despre opiniile și experiențele dumneavoastră cu privire la o chestiune politică pe care Uniunea Europeană încearcă să o rezolve. Anul acesta, consultarea platformei se va concentra asupra </w:t>
      </w:r>
      <w:r>
        <w:rPr>
          <w:u w:val="single"/>
        </w:rPr>
        <w:t xml:space="preserve">Garanției europene pentru copii.</w:t>
      </w:r>
      <w:r>
        <w:t xml:space="preserve"> </w:t>
      </w:r>
    </w:p>
    <w:p w14:paraId="4DEE4EB8" w14:textId="5D0D1A63">
      <w:pPr>
        <w:rPr>
          <w:rFonts w:ascii="Arial" w:hAnsi="Arial" w:cs="Arial"/>
        </w:rPr>
      </w:pPr>
      <w:r>
        <w:rPr>
          <w:rFonts w:ascii="Arial" w:hAnsi="Arial" w:cs="Arial"/>
        </w:rPr>
        <w:t xml:space="preserve">UE a elaborat un document (așa-numita </w:t>
      </w:r>
      <w:hyperlink w:tgtFrame="_blank" w:history="1" r:id="rId11">
        <w:r>
          <w:rPr>
            <w:rStyle w:val="Hyperlink"/>
            <w:rFonts w:ascii="Arial" w:hAnsi="Arial" w:cs="Arial"/>
          </w:rPr>
          <w:t xml:space="preserve">Garanție europeană pentru copii),</w:t>
        </w:r>
      </w:hyperlink>
      <w:r>
        <w:rPr>
          <w:rFonts w:ascii="Arial" w:hAnsi="Arial" w:cs="Arial"/>
        </w:rPr>
        <w:t xml:space="preserve">care prevede că toate țările UE trebuie să elaboreze un plan pentru a se asigura că copiii și tinerii care trăiesc în sărăcie sau în situații dificile din întreaga UE primesc ajutorul de care au nevoie.</w:t>
      </w:r>
    </w:p>
    <w:p w14:paraId="081DEF59" w14:textId="0E28CA87" w14:noSpellErr="1">
      <w:pPr>
        <w:pStyle w:val="P68B1DB1-Normal2"/>
      </w:pPr>
      <w:r>
        <w:t xml:space="preserve">Vrem să aflăm cum arată viața pentru copiii și adolescenții din comunitatea dvs., în special pentru cei care nu au întotdeauna lucrurile de care au nevoie. De exemplu, copiilor li se poate acorda acces la activități educaționale de către Education &amp; asistența medicală; Cazare suficient de bună și mâncare sănătoasă &amp; amperi; amperi; O masă la școală pe zi. Și ce ar putea face UE pentru a face lucrurile mai bune pentru copii? Persoanele care lucrează la această chestiune de politică a UE doresc cu adevărat să știe care sunt opiniile copiilor și au promis să le ia în serios atunci când lucrează la această chestiune. </w:t>
      </w:r>
    </w:p>
    <w:p w14:paraId="36C2276B" w14:textId="6A416C80">
      <w:pPr>
        <w:pStyle w:val="P68B1DB1-Normal2"/>
      </w:pPr>
      <w:r>
        <w:t xml:space="preserve">Dorim să ne asigurăm că puteți lua o decizie în cunoștință de cauză cu privire la participarea la activitățile de consultanță. Vă rugăm să citiți acest document pentru a verifica dacă participarea este adecvată și, dacă aveți întrebări, să contactați persoana care v-a trimis această fișă informativă. </w:t>
      </w:r>
    </w:p>
    <w:p w14:paraId="323CD80E" w14:textId="660EBE62">
      <w:pPr>
        <w:pStyle w:val="P68B1DB1-Normal2"/>
      </w:pPr>
      <w:r>
        <w:t xml:space="preserve">Pe platformă, vom desfășura trei tipuri de activități de consultare. Aceste activități includ: Sondaje, interviuri și discuții de grup. Astăzi vă solicităm interesul și suntem de acord să participați la un interviu sau la o discuție de grup.</w:t>
      </w:r>
    </w:p>
    <w:p w14:paraId="1BA934C3" w14:textId="52A678B1">
      <w:pPr>
        <w:pStyle w:val="P68B1DB1-Normal3"/>
      </w:pPr>
      <w:r>
        <w:t xml:space="preserve">Despre interviuri și discuții de grup </w:t>
      </w:r>
    </w:p>
    <w:p w14:paraId="4559E3F2" w14:textId="42A248B8">
      <w:pPr>
        <w:pStyle w:val="P68B1DB1-Normal2"/>
      </w:pPr>
      <w:r>
        <w:t xml:space="preserve">Interviurile și discuțiile de grup constau într-o serie de întrebări pe care un adult vi le pune pentru a afla mai multe despre opiniile și experiențele dvs. pe un subiect. Scopul interviurilor și al discuțiilor de grup va fi de a colecta opiniile dumneavoastră cu privire la Garanția europeană pentru copii, care vor fi luate în considerare la pregătirea documentelor și a acțiunilor de comunicare privind progresele înregistrate. Toate interviurile și grupurile tematice se desfășoară în toate statele membre ale UE. Puteți participa dacă locuiți într-unul dintre statele membre ale UE. </w:t>
      </w:r>
    </w:p>
    <w:p w14:paraId="248AA337" w14:textId="4F099BDE" w14:noSpellErr="1">
      <w:pPr>
        <w:pStyle w:val="P68B1DB1-Normal2"/>
      </w:pPr>
      <w:r>
        <w:t xml:space="preserve">Aceste interviuri și discuții de grup vor fi facilitate de persoane pe care le cunoașteți deja, de organizația care v-a furnizat aceste informații sau de responsabilii cu abilitarea copiilor (CEO) ai platformei în limba dvs. maternă sau în limba engleză. Aceștia sunt experți instruiți în lucrul cu copiii. Ele se vor asigura, de asemenea, că sunt instituite toate măsurile de protecție pentru a permite participarea sigură, semnificativă și favorabilă incluziunii a tuturor copiilor. Dacă vă înregistrați și sunteți de acord să participați la această activitate, vă rugăm să ne anunțați dacă aveți nevoie de garanții speciale pentru a participa la această activitate. </w:t>
      </w:r>
    </w:p>
    <w:p w14:paraId="75A448D3" w14:textId="262135FC">
      <w:pPr>
        <w:pStyle w:val="P68B1DB1-Normal4"/>
        <w:rPr>
          <w:bCs/>
        </w:rPr>
      </w:pPr>
      <w:r>
        <w:t xml:space="preserve">Locul și calendarul interviurilor și al discuțiilor de grup</w:t>
      </w:r>
    </w:p>
    <w:p w14:paraId="3A8AAA4F" w14:textId="4714B5DC">
      <w:pPr>
        <w:pStyle w:val="P68B1DB1-Normal5"/>
      </w:pPr>
      <w:r>
        <w:t xml:space="preserve">Interviurile și discuțiile de grup au loc online sau în persoană:</w:t>
      </w:r>
    </w:p>
    <w:p w14:paraId="32CF7AB9" w14:textId="53ABB25C">
      <w:pPr>
        <w:pStyle w:val="P68B1DB1-ListParagraph6"/>
        <w:numPr>
          <w:ilvl w:val="0"/>
          <w:numId w:val="13"/>
        </w:numPr>
        <w:spacing w:after="0" w:line="240" w:lineRule="auto"/>
        <w:rPr>
          <w:rFonts w:eastAsia="Times New Roman"/>
        </w:rPr>
      </w:pPr>
      <w:r>
        <w:t xml:space="preserve">Când: în perioada octombrie-decembrie 2025, într-un moment convenabil pentru dumneavoastră și pentru adulții însoțitori.</w:t>
      </w:r>
    </w:p>
    <w:p w14:paraId="3AB3845D" w14:textId="77777777">
      <w:pPr>
        <w:pStyle w:val="P68B1DB1-ListParagraph6"/>
        <w:numPr>
          <w:ilvl w:val="0"/>
          <w:numId w:val="13"/>
        </w:numPr>
      </w:pPr>
      <w:r>
        <w:t xml:space="preserve">Se aplică următoarele dispoziții: </w:t>
      </w:r>
    </w:p>
    <w:p w14:paraId="7B87AB15" w14:textId="4D4B4CD2">
      <w:pPr>
        <w:pStyle w:val="P68B1DB1-ListParagraph6"/>
        <w:numPr>
          <w:ilvl w:val="1"/>
          <w:numId w:val="13"/>
        </w:numPr>
      </w:pPr>
      <w:r>
        <w:t xml:space="preserve">Online - Aveți nevoie de acces la internet (prin intermediul unui laptop de telefon sau al unui computer) pentru a vă conecta la întâlnire prin intermediul Microsoft Teams.</w:t>
      </w:r>
    </w:p>
    <w:p w14:paraId="3929F037" w14:textId="07D5E116" w14:noSpellErr="1">
      <w:pPr>
        <w:pStyle w:val="P68B1DB1-ListParagraph6"/>
        <w:numPr>
          <w:ilvl w:val="1"/>
          <w:numId w:val="13"/>
        </w:numPr>
      </w:pPr>
      <w:r>
        <w:t xml:space="preserve">În biroul Salvați Copiii sau SOS Village din țara dumneavoastră. </w:t>
      </w:r>
    </w:p>
    <w:p w14:paraId="6CC5DE12" w14:textId="2F413054">
      <w:pPr>
        <w:pStyle w:val="P68B1DB1-ListParagraph6"/>
        <w:numPr>
          <w:ilvl w:val="0"/>
          <w:numId w:val="13"/>
        </w:numPr>
      </w:pPr>
      <w:r>
        <w:t xml:space="preserve">Cât timp: Interviurile nu durează mai mult de 45 de minute, iar discuțiile de grup nu depășesc 1 oră și 30 de minute. Un număr maxim de 12 copii participă la o discuție de grup.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Participarea dumneavoastră este voluntară</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Participarea dvs. la activitate este voluntară și aveți puterea și dreptul de a decide cât timp să participați.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Vă puteți răzgândi în orice moment și puteți decide să nu participați la activitate fără a ne oferi un motiv.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Dacă vă simțiți inconfortabil din orice motiv, vă rugăm să anunțați un angajat cât mai curând posibil. Tratăm cererea dvs. în siguranță și în mod confidențial.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Cum ne asigurăm că copiii sunt în siguranță?</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Platforma se angajează să sprijine și să promoveze bunăstarea tuturor copiilor care sunt membri ai platformei. Avem o politică de toleranță zero față de orice formă de hărțuire, discriminare, intimidare, exploatare sexuală, abuz sau încălcare a drepturilor copiilor. De asemenea, ne asigurăm că respectăm dreptul la viață privată. Am elaborat o serie de măsuri de protecție și de protecție a copilului care vor orienta toate activitățile platformei, inclusiv într-un format adaptat copiilor. În plus, am numit ofițeri de protecție a copilului care să supravegheze copilul pentru a proteja aspectele tuturor intervențiilor cu copiii și pentru a ne asigura că sunt luate măsurile de precauție adecvate. Pentru mai multe informații despre angajamentul nostru de a proteja și citi Politica noastră de Protecție a Copilului, vă rugăm să ne trimiteți un e-mail la </w:t>
      </w:r>
      <w:hyperlink w:history="1" r:id="rId12">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Vă rugăm să ne ajutați să înțelegem dacă există probleme care pot fi deosebit de sensibile pentru dvs. Vă rugăm să spuneți persoanei care organizează interviul cu dvs. despre tot ceea ce credeți că ar trebui să știți pentru a vă ajuta să le aduceți în siguranță. Interviurile pot fi adaptate nevoilor individuale ale copiilor.</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Tot ceea ce spui în timpul activităților de consultanță este anonim. Singurele excepții de la acest lucru sunt atunci când ne spuneți că dvs. sau altcineva este rănit sau în pericol. Apoi trebuie să respectăm regulile de siguranță sau să raportăm ceea ce ne-ați spus unei persoane care v-a dat această fișă de informații.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 xml:space="preserve">Informații de contact</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Pentru informații suplimentare, vă rugăm să contactați </w:t>
      </w:r>
      <w:commentRangeStart w:id="1"/>
      <w:r>
        <w:rPr>
          <w:rFonts w:ascii="Arial" w:hAnsi="Arial" w:cs="Arial" w:eastAsia="Times New Roman"/>
          <w:highlight w:val="yellow"/>
        </w:rPr>
        <w:t xml:space="preserve">XXX –</w:t>
      </w:r>
      <w:r>
        <w:rPr>
          <w:rFonts w:ascii="Arial" w:hAnsi="Arial" w:cs="Arial" w:eastAsia="Times New Roman"/>
        </w:rPr>
        <w:t xml:space="preserve"> </w:t>
      </w:r>
      <w:commentRangeEnd w:id="1"/>
      <w:r>
        <w:rPr>
          <w:rStyle w:val="CommentReference"/>
        </w:rPr>
        <w:commentReference w:id="1"/>
      </w:r>
      <w:r>
        <w:rPr>
          <w:rFonts w:ascii="Arial" w:hAnsi="Arial" w:cs="Arial" w:eastAsia="Times New Roman"/>
        </w:rPr>
        <w:t xml:space="preserve">o persoană care v-a furnizat această fișă informativă. De asemenea, puteți contacta responsabilul nostru cu protecția Arianna Tripodi și Roxana Andrei la </w:t>
      </w:r>
      <w:hyperlink r:id="R11cbeaf981524810">
        <w:r>
          <w:rPr>
            <w:rStyle w:val="Hyperlink"/>
            <w:rFonts w:ascii="Arial" w:hAnsi="Arial" w:cs="Arial" w:eastAsia="Times New Roman"/>
          </w:rPr>
          <w:t xml:space="preserve">adresa cppsafeguarding@icf.com</w:t>
        </w:r>
      </w:hyperlink>
      <w:r>
        <w:rPr>
          <w:rFonts w:ascii="Arial" w:hAnsi="Arial" w:cs="Arial" w:eastAsia="Times New Roman"/>
        </w:rPr>
        <w:t xml:space="preserve"> sau reprezentantul Comisiei Europene la </w:t>
      </w:r>
      <w:hyperlink r:id="Rf91b01bf6a344630">
        <w:r>
          <w:rPr>
            <w:rStyle w:val="Hyperlink"/>
            <w:rFonts w:ascii="Arial" w:hAnsi="Arial" w:cs="Arial" w:eastAsia="Times New Roman"/>
          </w:rPr>
          <w:t xml:space="preserve">adresa 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Protecția datelor dvs.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Când interacționați cu noi, este posibil să colectăm și să procesăm informații despre dvs. Acestea includ numele, adresa, adresa (adresele) de e-mail, numărul (numerele) de telefon și data nașterii. </w:t>
      </w:r>
    </w:p>
    <w:p w14:paraId="4B0A9ECF" w14:textId="26B85535">
      <w:pPr>
        <w:pStyle w:val="P68B1DB1-ListParagraph7"/>
        <w:numPr>
          <w:ilvl w:val="0"/>
          <w:numId w:val="4"/>
        </w:numPr>
        <w:spacing w:after="0" w:line="240" w:lineRule="auto"/>
        <w:contextualSpacing w:val="0"/>
        <w:jc w:val="both"/>
      </w:pPr>
      <w:r>
        <w:t xml:space="preserve">Toate informațiile pe care le colectăm despre dvs. sunt </w:t>
      </w:r>
      <w:r>
        <w:rPr>
          <w:b/>
        </w:rPr>
        <w:t xml:space="preserve">strict confidențiale</w:t>
      </w:r>
      <w:r>
        <w:t xml:space="preserve"> și vom cere și altor persoane care interacționează cu dvs. în timpul activității să vă respecte confidențialitatea. </w:t>
      </w:r>
    </w:p>
    <w:p w14:paraId="717B584B" w14:textId="014AF068">
      <w:pPr>
        <w:pStyle w:val="P68B1DB1-ListParagraph7"/>
        <w:numPr>
          <w:ilvl w:val="0"/>
          <w:numId w:val="4"/>
        </w:numPr>
        <w:spacing w:after="0" w:line="240" w:lineRule="auto"/>
        <w:contextualSpacing w:val="0"/>
        <w:jc w:val="both"/>
      </w:pPr>
      <w:r>
        <w:t xml:space="preserve">Niciun comentariu sau citat nu este asociat cu numele tău. Dacă activitatea ne cere să folosim numele dvs. (numai prenumele), imaginea sau vocea, vă vom explica acest lucru și vă vom solicita separat consimțământul dvs. și cel al părinților sau tutorilor dvs. </w:t>
      </w:r>
    </w:p>
    <w:p w14:paraId="23F72112" w14:textId="77777777">
      <w:pPr>
        <w:pStyle w:val="P68B1DB1-ListParagraph7"/>
        <w:numPr>
          <w:ilvl w:val="0"/>
          <w:numId w:val="4"/>
        </w:numPr>
        <w:spacing w:after="0" w:line="240" w:lineRule="auto"/>
        <w:contextualSpacing w:val="0"/>
        <w:jc w:val="both"/>
      </w:pPr>
      <w:r>
        <w:t xml:space="preserve">Dacă auzim că dvs. sau altcineva ar putea fi rănit, trebuie să împărtășim informațiile cu altcineva pentru a vă proteja pe dvs. și pe alții.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Pentru a ne asigura că dvs. și părinții sau tutorii dvs. sunteți informați cu privire la tipurile de activități (interviuri și focus grupuri), implicarea dvs. și modul în care vom utiliza informațiile dvs., avem nevoie atât de acordurile dvs., cât și de consimțământul scris al părinților sau tutorilor dvs.</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Acordul de aprobare – Măsuri de consultare privind Garanția europeană pentru copii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Aș dori să particip la această activitate – un interviu și o discuție de grup.</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DA</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Sunt de acord să particip la activitatea platformei și sunt de acord cu prelucrarea datelor mele cu caracter personal în conformitate cu </w:t>
      </w:r>
      <w:hyperlink w:history="1" w:anchor=":~:text=Regulation%20%28EU%29%202018%2F1725%20of%20the%20European%20Parliament%20and,and%20Decision%20No%201247%2F2002%2FEC%20%28Text%20with%20EEA%20relevance%29." r:id="rId19">
        <w:r>
          <w:rPr>
            <w:rStyle w:val="Hyperlink"/>
            <w:rFonts w:ascii="Arial" w:hAnsi="Arial" w:cs="Arial"/>
          </w:rPr>
          <w:t xml:space="preserve">Regulamentul (UE)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DA</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Denumire:</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Data: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Semnătura:</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Vă rugăm să introduceți numele dvs. / numele CEO-ului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Imaginea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„Instituirea, gestionarea și coordonarea Platformei UE pentru participarea copiilor” este un contract de servicii al Uniunii Europene. Numărul contractului: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ro"/>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3A27BD16-6854-4804-909E-F4DFA9A455BE}"/>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