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Stimate(ă) </w:t>
      </w:r>
      <w:commentRangeStart w:id="0"/>
      <w:r>
        <w:rPr>
          <w:rStyle w:val="normaltextrun"/>
          <w:rFonts w:ascii="Calibri" w:hAnsi="Calibri" w:cs="Calibri" w:eastAsiaTheme="majorEastAsia"/>
          <w:sz w:val="22"/>
          <w:szCs w:val="22"/>
        </w:rPr>
        <w:t xml:space="preserve">[Membru(ă) al(a)</w:t>
      </w:r>
      <w:commentRangeEnd w:id="0"/>
      <w:r>
        <w:rPr>
          <w:rStyle w:val="CommentReference"/>
          <w:rFonts w:asciiTheme="minorHAnsi" w:hAnsiTheme="minorHAnsi" w:cstheme="minorBidi" w:eastAsiaTheme="minorHAnsi"/>
          <w:kern w:val="2"/>
          <w14:ligatures w14:val="standardContextual"/>
        </w:rPr>
        <w:commentReference w:id="0"/>
      </w:r>
      <w:r>
        <w:rPr>
          <w:rStyle w:val="normaltextrun"/>
          <w:rFonts w:ascii="Calibri" w:hAnsi="Calibri" w:cs="Calibri" w:eastAsiaTheme="majorEastAsia"/>
          <w:sz w:val="22"/>
          <w:szCs w:val="22"/>
        </w:rPr>
        <w:t>platformei],</w:t>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Sper că ești bine.</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Apreciem angajamentul dvs. și dorim să împărtășim cu dvs. informații despre activitatea Platformei în curs de desfășurare pe care credem că dvs. și copiii cu care lucrați ar putea fi interesați.</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După cum știți, Platforma UE de participare a copiilor este dedicată asigurării faptului că vocile copiilor din întreaga Europă sunt auzite și luate în considerare la elaborarea politicilor care le influențează viața.</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Având în vedere acest obiectiv, în octombrie 2025 vom lansa o consultare în cadrul căreia UE îi consultă pe copii pentru a le prezenta ideile despre Garanția europeană pentru copii și pentru a discuta despre cum este viața copiilor și a adolescenților în comunitatea lor, în special dacă nu au întotdeauna lucrurile de care au nevoie.</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Și ce ar putea face UE pentru ca lucrurile să fie mai bune pentru ei. Consultările noastre sunt deja în curs de desfășurare și suntem încântați să împărtășim faptul că copiii din întreaga Europă își împărtășesc deja ideile prin interviuri și grupuri de reflecție. Un sondaj va fi lansat, de asemenea, în octombrie 2025. Vă invităm pe dumneavoastră și pe copiii cu care lucrați să participați!</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Cum pot participa copiii?</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Anchetă:</w:t>
      </w:r>
      <w:r>
        <w:rPr>
          <w:rStyle w:val="normaltextrun"/>
          <w:rFonts w:ascii="Calibri" w:hAnsi="Calibri" w:cs="Calibri" w:eastAsiaTheme="majorEastAsia"/>
          <w:sz w:val="22"/>
          <w:szCs w:val="22"/>
        </w:rPr>
        <w:t xml:space="preserve"> Copiii își vor putea împărtăși gândurile în mod direct prin completarea </w:t>
      </w:r>
      <w:hyperlink r:id="rId13" w:history="1">
        <w:r>
          <w:rPr>
            <w:rStyle w:val="Hyperlink"/>
            <w:rFonts w:ascii="Calibri" w:hAnsi="Calibri" w:cs="Calibri" w:eastAsiaTheme="majorEastAsia"/>
            <w:sz w:val="22"/>
            <w:szCs w:val="22"/>
          </w:rPr>
          <w:t xml:space="preserve">chestionarului nostru online.</w:t>
        </w:r>
      </w:hyperlink>
      <w:r>
        <w:rPr>
          <w:rStyle w:val="normaltextrun"/>
          <w:rFonts w:ascii="Calibri" w:hAnsi="Calibri" w:cs="Calibri" w:eastAsiaTheme="majorEastAsia"/>
          <w:sz w:val="22"/>
          <w:szCs w:val="22"/>
        </w:rPr>
        <w:t xml:space="preserve"> Este un instrument puternic care le permite să își facă auzită vocea și să contribuie la deciziile luate la nivelul UE. Nu este nevoie de pregătire, iar copiii o pot finaliza în timpul liber, oricând înainte de 8</w:t>
      </w:r>
      <w:r>
        <w:rPr>
          <w:rStyle w:val="normaltextrun"/>
          <w:rFonts w:ascii="Calibri" w:hAnsi="Calibri" w:cs="Calibri" w:eastAsiaTheme="majorEastAsia"/>
          <w:sz w:val="22"/>
          <w:szCs w:val="22"/>
          <w:vertAlign w:val="superscript"/>
        </w:rPr>
        <w:t>decembrie.</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Grupuri de reflecție și interviuri:</w:t>
      </w:r>
      <w:r>
        <w:rPr>
          <w:rStyle w:val="normaltextrun"/>
          <w:rFonts w:ascii="Calibri" w:hAnsi="Calibri" w:cs="Calibri" w:eastAsiaTheme="majorEastAsia"/>
          <w:sz w:val="22"/>
          <w:szCs w:val="22"/>
        </w:rPr>
        <w:t xml:space="preserve"> Organizația dumneavoastră poate facilita un grup de reflecție (până la 15 copii) sau interviuri (1-2 copii) pentru a discuta cu copiii opiniile lor cu privire la această chestiune și pentru a le împărtăși ideile care vor fi luate în considerare în procesul de elaborare a politicilor la nivelul UE (din care face parte această consultare). Această abordare bazată pe colaborare asigură faptul că perspectivele copiilor sunt amplificate și reprezentate cu precizie în politicile relevante ale UE. Pentru a vă ajuta în acest sens, avem resurse pe care le putem împărtăși cu dvs. (a se vedea mai jos) pentru a face procesul ușor pentru dvs. și copiii pe care i-ați consulta.</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Cum poți să ajuți?</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Considerăm că această consultare poate fi de interes pentru organizația dumneavoastră și pentru copiii cu care lucrați. Dorim să le oferim în continuare copiilor din organizația dumneavoastră șansa de a se implica în viața platformei și în activitățile acesteia.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Vă rugăm să ne informați dacă aveți întrebări cu privire la procesul de desfășurare a consultărilor și dacă ați fi interesat să consultați copiii cu care lucrați printr-un format de discuții de grup (până la 15 copii) sau format de interviu (de preferință cu 1-2 copii). Raportul stabilit cu copiii cu care lucrați vă va ajuta, de asemenea, să vă asigurați că consultarea este sigură și semnificativă.</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Cum vă putem ajuta?</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Dacă decideți să realizați un focus grup sau un interviu, suntem aici pentru a vă sprijini la fiecare pas. Setul nostru cuprinzător de instrumente, inclusiv ghiduri tematice care fac schimb de sfaturi cu privire la modul în care poate fi organizată o consultare cu copiii (inclusiv jocuri de organizat și întrebări de adresat), modele și informații generale cu privire la subiectul consultării, vă vor dota cu resursele necesare pentru un angajament de succes și de impact. Aceste resurse sunt disponibile pentru referința și utilizarea dvs. și suntem mai mult decât dispuși să vă oferim orice asistență de care aveți nevoie; Trebuie doar să ne anunți.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Când?</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Toate procesele de consultare se vor încheia</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 xml:space="preserve">la 8</w:t>
      </w:r>
      <w:r>
        <w:rPr>
          <w:rStyle w:val="normaltextrun"/>
          <w:rFonts w:ascii="Calibri" w:hAnsi="Calibri" w:cs="Calibri" w:eastAsiaTheme="majorEastAsia"/>
          <w:sz w:val="22"/>
          <w:szCs w:val="22"/>
          <w:vertAlign w:val="superscript"/>
        </w:rPr>
        <w:t>decembrie</w:t>
      </w:r>
      <w:r>
        <w:rPr>
          <w:rStyle w:val="normaltextrun"/>
          <w:rFonts w:ascii="Calibri" w:hAnsi="Calibri" w:cs="Calibri" w:eastAsiaTheme="majorEastAsia"/>
          <w:sz w:val="22"/>
          <w:szCs w:val="22"/>
        </w:rPr>
        <w:t xml:space="preserve"> 2025.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De ce?</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Implicarea dumneavoastră activă poate amplifica vocile copiilor în elaborarea politicilor UE și, în cele din urmă, prin această elaborare a politicilor – poate contribui la punerea în aplicare a Garanției europene pentru copii. Ar fi, de asemenea, o oportunitate de a rămâne implicat în comunitatea platformei.</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Mai multe despre subiectul consultării</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Tema acestei consultări este Garanția europeană pentru copii. UE a elaborat un document (denumit Garanția europeană pentru copii) în care se afirmă că toate țările UE trebuie să elaboreze un plan pentru a se asigura că copiii și adolescenții care trăiesc în sărăcie sau în situații dificile în întreaga UE primesc ajutorul de care au nevoie. Printre acestea se numără: </w:t>
      </w:r>
    </w:p>
    <w:p w14:paraId="510C99C1" w14:textId="77777777">
      <w:pPr>
        <w:spacing w:after="0"/>
        <w:jc w:val="both"/>
        <w:rPr>
          <w:rFonts w:ascii="Calibri" w:hAnsi="Calibri" w:cs="Calibri"/>
          <w:szCs w:val="24"/>
        </w:rPr>
        <w:pStyle w:val="P68B1DB1-Normal1"/>
      </w:pPr>
      <w:r>
        <w:t xml:space="preserve">Acces gratuit la:</w:t>
      </w:r>
    </w:p>
    <w:p w14:paraId="459B2AF9" w14:textId="028C079C">
      <w:pPr>
        <w:pStyle w:val="P68B1DB1-ListParagraph2"/>
        <w:numPr>
          <w:ilvl w:val="0"/>
          <w:numId w:val="12"/>
        </w:numPr>
        <w:spacing w:after="0"/>
        <w:jc w:val="both"/>
        <w:rPr>
          <w:rFonts w:ascii="Calibri" w:hAnsi="Calibri" w:cs="Calibri" w:eastAsia="Calibri"/>
        </w:rPr>
      </w:pPr>
      <w:r>
        <w:t xml:space="preserve">Educație (cum ar fi manuale școlare, materiale școlare și echipamente IT)</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Activități școlare (excursii, activități sportive sau culturale în școală)</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Asistența medicală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O masă la școală pe zi</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Acces facil și necostisitor la:</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Alimente sănătoase</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Locuință suficient de bună (o casă confortabilă și sigură)</w:t>
      </w:r>
    </w:p>
    <w:p w14:paraId="16FAB174" w14:textId="36E57A94">
      <w:pPr>
        <w:spacing w:after="0"/>
        <w:jc w:val="both"/>
        <w:rPr>
          <w:rFonts w:ascii="Calibri" w:hAnsi="Calibri" w:cs="Calibri"/>
        </w:rPr>
        <w:pStyle w:val="P68B1DB1-Normal4"/>
      </w:pPr>
      <w:r>
        <w:t xml:space="preserve">Dorim să aflăm cum este viața copiilor și a adolescenților din comunitatea lor, în special a celor care nu au întotdeauna lucrurile de care au nevoie, și ce ar putea face UE pentru ca lucrurile să fie mai bune pentru ei.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Apreciem cu adevărat dedicarea dumneavoastră pentru drepturile copiilor și parteneriatul dumneavoastră continuu cu Platforma UE de participare a copiilor. Să colaborăm pentru a asigura participarea continuă și constructivă a copiilor la nivelul UE.</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Mulțumesc.</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Cu stimă,</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Vă rugăm să adăugați, după caz.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ro"/>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DC7CC-CB5F-4204-B130-CCA22A2C9B8E}"/>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