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Príloha 2 Formulár súhlasu s konzultáciou s dospelými</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Formulár súhlasu pre rodičov a opatrovníkov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Účasť na pohovoroch a cieľových skupinách</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Milí rodičia alebo opatrovníci,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r>
        <w:rPr>
          <w:rFonts w:ascii="Arial" w:hAnsi="Arial" w:cs="Arial" w:eastAsia="Arial"/>
          <w:color w:val="000000" w:themeColor="text1" w:themeTint="FF" w:themeShade="FF"/>
        </w:rPr>
        <w:t>[názov</w:t>
      </w:r>
      <w:commentRangeStart w:id="0"/>
      <w:r>
        <w:rPr>
          <w:rFonts w:ascii="Arial" w:hAnsi="Arial" w:cs="Arial" w:eastAsia="Arial"/>
          <w:color w:val="000000" w:themeColor="text1" w:themeTint="FF" w:themeShade="FF"/>
        </w:rPr>
        <w:t xml:space="preserve">spoločnej organizácie]</w:t>
      </w:r>
      <w:commentRangeEnd w:id="0"/>
      <w:r>
        <w:rPr>
          <w:rStyle w:val="CommentReference"/>
        </w:rPr>
        <w:commentReference w:id="0"/>
      </w:r>
      <w:r>
        <w:rPr>
          <w:rFonts w:ascii="Arial" w:hAnsi="Arial" w:cs="Arial" w:eastAsia="Arial"/>
          <w:color w:val="000000" w:themeColor="text1" w:themeTint="FF" w:themeShade="FF"/>
        </w:rPr>
        <w:t xml:space="preserve">spolupracuje s Európskou komisiou, Európskym parlamentom, organizáciami pre práva detí a samotnými deťmi na zriadení platformy EÚ pre účasť detí (ďalej len „platforma“).</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Prečo vás kontaktujeme?</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Chceli by sme pozvať vaše dieťa na pohovor a/alebo na špecializovanú skupinu organizovanú platformou. Ako rodičia alebo opatrovníci vás žiadame o súhlas zúčastniť </w:t>
      </w:r>
      <w:r>
        <w:rPr>
          <w:u w:val="single"/>
        </w:rPr>
        <w:t xml:space="preserve">sa na konzultáciách o Európskej záruke pre deti a prispieť k nim a diskutovať o tom, ako vyzerá život detí a mladých ľudí v ich komunite, najmä ak nie vždy majú veci, ktoré potrebujú, a čo by EÚ mohla urobiť, aby sa im veci zlepšili.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Chceme zabezpečiť, aby ste sa mohli informovane rozhodnúť, či sa vaše dieťa zúčastňuje na poradenských činnostiach. Prečítajte si tento dokument, aby ste zistili, či je účasť vhodná, a ak máte akékoľvek otázky, obráťte sa na osobu, ktorá vám poslala tento informačný prehľad.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Čo je platforma?</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Platforma umožní deťom z veľmi odlišného prostredia žijúcim v Európskej únii (EÚ) stretávať sa s osobami s rozhodovacou právomocou a vymieňať si názory na témy, ktoré ich zaujímajú, a to na úrovni EÚ, ale aj na vnútroštátnej a miestnej úrovni.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Platforma ponúka seriózne a zábavné interaktívne aktivity pre deti, aby sa podelili o svoje názory, nápady a skúsenosti na témy, ktoré sú pre ne dôležité. Mohlo by to zahŕňať odpovede na prieskumy, účasť na prieskumoch, rozhovory, účasť v cieľovej skupine, zdieľanie kresieb alebo príbehov a ďalšie. Účasť je dobrovoľná a dieťa môže účasť kedykoľvek ukončiť.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O čom sú konzultačné činnosti?</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Platforma každoročne uskutočňuje konzultácie s deťmi s cieľom informovať o politike týkajúcej sa vybranej témy. Tento rok sa konzultácia zameria na </w:t>
      </w:r>
      <w:r>
        <w:rPr>
          <w:rStyle w:val="normaltextrun"/>
          <w:rFonts w:ascii="Arial" w:hAnsi="Arial" w:cs="Arial" w:eastAsia="Arial"/>
          <w:i w:val="1"/>
          <w:color w:val="000000" w:themeColor="text1" w:themeTint="FF" w:themeShade="FF"/>
        </w:rPr>
        <w:t xml:space="preserve">„Európsku záruku pre deti“.</w:t>
      </w:r>
      <w:r>
        <w:rPr>
          <w:rStyle w:val="normaltextrun"/>
          <w:rFonts w:ascii="Arial" w:hAnsi="Arial" w:cs="Arial" w:eastAsia="Arial"/>
          <w:color w:val="000000" w:themeColor="text1" w:themeTint="FF" w:themeShade="FF"/>
        </w:rPr>
        <w:t xml:space="preserve"> V rámci tejto konzultácie sa EÚ pýta detí, aký je život detí a mladých ľudí v ich komunite. Napríklad deti majú prístup k vzdelaniu. školské aktivity; zdravotná starostlivosť; Dostatočne dobré ubytovanie a zdravé jedlo &amp; amp; Jedno školské jedlo za deň. Pýta sa tiež, čo by sa mohlo urobiť na zlepšenie prístupu všetkých detí k nim. Konzultačné činnosti sú </w:t>
      </w:r>
      <w:r>
        <w:rPr>
          <w:rFonts w:ascii="Arial" w:hAnsi="Arial" w:cs="Arial" w:eastAsia="Arial"/>
          <w:b w:val="1"/>
          <w:color w:val="000000" w:themeColor="text1" w:themeTint="FF" w:themeShade="FF"/>
        </w:rPr>
        <w:t xml:space="preserve">online prieskum, skupinové diskusie a rozhovory vykonávané osobne a/alebo online.</w:t>
      </w:r>
      <w:r>
        <w:rPr>
          <w:rFonts w:ascii="Arial" w:hAnsi="Arial" w:cs="Arial" w:eastAsia="Arial"/>
          <w:color w:val="000000" w:themeColor="text1" w:themeTint="FF" w:themeShade="FF"/>
        </w:rPr>
        <w:t xml:space="preserve"> Konzultačný formát sa prispôsobí vekovej skupine konzultovaných detí. </w:t>
      </w:r>
    </w:p>
    <w:p w14:paraId="510DAF25" w14:textId="2B08E5D4">
      <w:pPr>
        <w:pStyle w:val="P68B1DB1-Normal3"/>
      </w:pPr>
      <w:r>
        <w:t xml:space="preserve">Informácie o online prieskume</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Do prieskumu sa môžu zapojiť všetky deti v EÚ. Prieskum je dostupný </w:t>
      </w:r>
      <w:hyperlink w:history="1" r:id="rId15">
        <w:r>
          <w:rPr>
            <w:rStyle w:val="Hyperlink"/>
            <w:rFonts w:ascii="Arial" w:hAnsi="Arial" w:cs="Arial" w:eastAsia="Arial"/>
          </w:rPr>
          <w:t>tu</w:t>
        </w:r>
      </w:hyperlink>
      <w:r>
        <w:rPr>
          <w:rFonts w:ascii="Arial" w:hAnsi="Arial" w:cs="Arial" w:eastAsia="Arial"/>
          <w:color w:val="000000" w:themeColor="text1"/>
        </w:rPr>
        <w:t xml:space="preserve"> Je na deťoch, či ho chcú vyplniť. </w:t>
      </w:r>
      <w:r>
        <w:rPr>
          <w:rFonts w:ascii="Arial" w:hAnsi="Arial" w:cs="Arial" w:eastAsia="Arial"/>
          <w:color w:val="000000" w:themeColor="text1"/>
          <w:u w:val="single"/>
        </w:rPr>
        <w:t xml:space="preserve">Deti tiež potrebujú súhlas svojich rodičov alebo opatrovníkov.</w:t>
      </w:r>
      <w:r>
        <w:rPr>
          <w:rFonts w:ascii="Arial" w:hAnsi="Arial" w:cs="Arial" w:eastAsia="Arial"/>
          <w:color w:val="000000" w:themeColor="text1"/>
        </w:rPr>
        <w:t xml:space="preserve"> Upozorňujeme, že so všetkými informáciami z prieskumu sa bude zaobchádzať </w:t>
      </w:r>
      <w:r>
        <w:rPr>
          <w:rFonts w:ascii="Arial" w:hAnsi="Arial" w:cs="Arial" w:eastAsia="Arial"/>
          <w:color w:val="000000" w:themeColor="text1"/>
          <w:u w:val="single"/>
        </w:rPr>
        <w:t xml:space="preserve">anonymne, </w:t>
      </w:r>
      <w:r>
        <w:rPr>
          <w:rFonts w:ascii="Arial" w:hAnsi="Arial" w:cs="Arial" w:eastAsia="Arial"/>
          <w:color w:val="000000" w:themeColor="text1"/>
        </w:rPr>
        <w:t xml:space="preserve">dôverne a bezpečne.</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Odkaz na prieskum: </w:t>
      </w:r>
      <w:hyperlink w:history="1" r:id="rId16">
        <w:r>
          <w:rPr>
            <w:rStyle w:val="Hyperlink"/>
            <w:rFonts w:ascii="Arial" w:hAnsi="Arial" w:cs="Arial" w:eastAsia="Arial"/>
          </w:rPr>
          <w:t xml:space="preserve">J330301778 CPP Európska záruka pre deti</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O rozhovoroch a skupinových diskusiách</w:t>
      </w:r>
    </w:p>
    <w:p w14:paraId="2B71F455" w14:textId="7BE16B7C">
      <w:pPr>
        <w:pStyle w:val="P68B1DB1-Normal2"/>
      </w:pPr>
      <w:r>
        <w:t xml:space="preserve">Cieľové skupiny a rozhovory sú otvorené pre deti v členských organizáciách platformy. Vykonávajú sa s deťmi (8 až 17 rokov). </w:t>
      </w:r>
    </w:p>
    <w:p w14:paraId="1249C4BF" w14:textId="2D542953">
      <w:pPr>
        <w:pStyle w:val="P68B1DB1-Normal3"/>
        <w:rPr>
          <w:bCs/>
        </w:rPr>
      </w:pPr>
      <w:r>
        <w:t xml:space="preserve">Osobitné záruky účasti na tejto konzultačnej činnosti </w:t>
      </w:r>
    </w:p>
    <w:p w14:paraId="52D6343C" w14:textId="1215C068" w14:noSpellErr="1">
      <w:pPr>
        <w:pStyle w:val="P68B1DB1-Normal2"/>
      </w:pPr>
      <w:r>
        <w:t xml:space="preserve">Rozhovory a diskusie uľahčia ľudia, ktorí už deti poznajú, organizácia, ktorá vám tieto informácie poskytla, alebo úradníci pre posilnenie postavenia detí (CEO) platformy v štátnom jazyku detí alebo v angličtine. Sú to vyškolení odborníci na prácu s deťmi. Zabezpečia tiež, aby boli zavedené všetky ochranné opatrenia, ktoré umožnia bezpečnú, zmysluplnú a inkluzívnu účasť všetkých detí. </w:t>
      </w:r>
    </w:p>
    <w:p w14:paraId="0EF26D4E" w14:textId="59720B55">
      <w:pPr>
        <w:pStyle w:val="P68B1DB1-Normal3"/>
        <w:rPr>
          <w:bCs/>
        </w:rPr>
      </w:pPr>
      <w:r>
        <w:t xml:space="preserve">Ako sa využívajú nápady z konzultácií?</w:t>
      </w:r>
    </w:p>
    <w:p w14:paraId="3096E265" w14:textId="7C310EAD">
      <w:pPr>
        <w:pStyle w:val="P68B1DB1-Normal2"/>
      </w:pPr>
      <w:r>
        <w:t xml:space="preserve">Tím platformy vypracuje správu na vnútroštátnej úrovni, v ktorej zhrnie výsledky všetkých konzultačných činností, a zašle ju Komisii.</w:t>
      </w:r>
    </w:p>
    <w:p w14:paraId="090BADD5" w14:textId="01EE6B07">
      <w:pPr>
        <w:rPr>
          <w:rFonts w:ascii="Arial" w:hAnsi="Arial" w:cs="Arial" w:eastAsia="Arial"/>
          <w:b/>
          <w:bCs/>
          <w:color w:val="000000" w:themeColor="text1"/>
        </w:rPr>
      </w:pPr>
    </w:p>
    <w:p w14:paraId="34B10224" w14:textId="1A5584AE">
      <w:pPr>
        <w:pStyle w:val="P68B1DB1-Normal4"/>
      </w:pPr>
      <w:r>
        <w:t xml:space="preserve">Miesto a čas pohovorov </w:t>
      </w:r>
    </w:p>
    <w:p w14:paraId="54AC382F" w14:textId="5BED13DD">
      <w:pPr>
        <w:pStyle w:val="P68B1DB1-Normal2"/>
      </w:pPr>
      <w:r>
        <w:t xml:space="preserve">Pohovory a skupinové diskusie sa môžu viesť online alebo osobne:</w:t>
      </w:r>
    </w:p>
    <w:p w14:paraId="4AB61294" w14:textId="67CD77D2">
      <w:pPr>
        <w:pStyle w:val="P68B1DB1-ListParagraph5"/>
        <w:numPr>
          <w:ilvl w:val="0"/>
          <w:numId w:val="24"/>
        </w:numPr>
        <w:spacing w:after="0" w:line="240" w:lineRule="auto"/>
      </w:pPr>
      <w:r>
        <w:t xml:space="preserve">Rozhovory a skupinové diskusie sa uskutočnia od októbra do decembra 2025. Všetky stretnutia budú usporiadané vo vhodnom čase pre vás a vaše dieťa.</w:t>
      </w:r>
    </w:p>
    <w:p w14:paraId="3DA68967" w14:textId="4C109DD4">
      <w:pPr>
        <w:pStyle w:val="P68B1DB1-ListParagraph5"/>
        <w:numPr>
          <w:ilvl w:val="0"/>
          <w:numId w:val="24"/>
        </w:numPr>
      </w:pPr>
      <w:r>
        <w:t xml:space="preserve">Rozhovory netrvajú dlhšie ako 45 minút. Toto by bola individuálna diskusia medzi vaším dieťaťom a úradníkom pre posilnenie postavenia dieťaťa. </w:t>
      </w:r>
    </w:p>
    <w:p w14:paraId="38B968A5" w14:textId="618CEBD9">
      <w:pPr>
        <w:pStyle w:val="P68B1DB1-ListParagraph5"/>
        <w:numPr>
          <w:ilvl w:val="0"/>
          <w:numId w:val="24"/>
        </w:numPr>
      </w:pPr>
      <w:r>
        <w:t xml:space="preserve">Zaostrovacie skupiny netrvajú dlhšie ako 1 hodinu a 30 minút. Do cieľovej skupiny sa zapojí maximálne 12 detí (8 detí pre mladšie vekové skupiny). </w:t>
      </w:r>
    </w:p>
    <w:p w14:paraId="515DFE6C" w14:textId="6E783A6A" w14:noSpellErr="1">
      <w:pPr>
        <w:pStyle w:val="P68B1DB1-ListParagraph6"/>
        <w:numPr>
          <w:ilvl w:val="0"/>
          <w:numId w:val="24"/>
        </w:numPr>
      </w:pPr>
      <w:r>
        <w:t xml:space="preserve">V </w:t>
      </w:r>
      <w:r>
        <w:rPr>
          <w:b w:val="1"/>
        </w:rPr>
        <w:t>osobných</w:t>
      </w:r>
      <w:r>
        <w:t xml:space="preserve"> rozhovoroch a cieľových skupinách musia deti a sprevádzajúce dospelé osoby cestovať do národných kancelárií Save the Children a SOS Village.</w:t>
      </w:r>
    </w:p>
    <w:p w14:paraId="39BF2AB7" w14:textId="1A2A0E43">
      <w:pPr>
        <w:pStyle w:val="P68B1DB1-ListParagraph5"/>
        <w:numPr>
          <w:ilvl w:val="0"/>
          <w:numId w:val="24"/>
        </w:numPr>
      </w:pPr>
      <w:r>
        <w:t xml:space="preserve">Platforma môže škole poskytnúť list, ak si účasť na pohovore a cieľová skupina vyžaduje, aby vaše dieťa bolo v školský deň neprítomné.</w:t>
      </w:r>
    </w:p>
    <w:p w14:paraId="5DB32868" w14:textId="1411DF72">
      <w:pPr>
        <w:pStyle w:val="P68B1DB1-ListParagraph6"/>
        <w:numPr>
          <w:ilvl w:val="0"/>
          <w:numId w:val="24"/>
        </w:numPr>
      </w:pPr>
      <w:r>
        <w:t xml:space="preserve">Na </w:t>
      </w:r>
      <w:r>
        <w:rPr>
          <w:b/>
        </w:rPr>
        <w:t xml:space="preserve">online rozhovory a skupinové diskusie potrebujú deti</w:t>
      </w:r>
      <w:r>
        <w:t xml:space="preserve"> prístup na internet (telefón, laptop alebo počítač). K schôdzi sa pripojíte prostredníctvom aplikácie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Ako zabezpečiť, aby boli deti v bezpečí?</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Platforma je odhodlaná podporovať a presadzovať blaho všetkých detí, ktoré sú členmi platformy. Máme politiku nulovej tolerancie voči akejkoľvek forme obťažovania, diskriminácie, šikanovania, sexuálneho vykorisťovania, zneužívania alebo porušovania práv detí. Taktiež dbáme na to, aby sme rešpektovali právo na súkromie. Vyvinuli sme celý rad opatrení na ochranu a ochranu detí, ktorými sa budú riadiť všetky činnosti platformy, a to aj vo formáte zohľadňujúcom potreby detí. Okrem toho sme vymenovali úradníkov na ochranu detí, ktorí dohliadajú na dieťa s cieľom chrániť aspekty všetkých zásahov s deťmi a zabezpečiť, aby sa prijali primerané preventívne opatrenia. Pre viac informácií o našom záväzku chrániť a čítať naše Zásady ochrany detí, pošlite nám e-mail na </w:t>
      </w:r>
      <w:hyperlink r:id="rId17">
        <w:r>
          <w:rPr>
            <w:rStyle w:val="Hyperlink"/>
            <w:rFonts w:ascii="Arial" w:hAnsi="Arial" w:cs="Arial" w:eastAsia="Arial"/>
          </w:rPr>
          <w:t xml:space="preserve">adresu 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Spoliehame sa tiež na vaše vedomosti o zúčastnenom dieťati, aby sme pochopili, či existujú problémy, ktoré môžu byť v tomto čase obzvlášť citlivé. Informujte osobu, ktorá s vami organizuje pohovor, o všetkom, čo si myslíte, že by ste mali vedieť, aby ste svoje dieťa dostali do bezpečia. Rozhovory je možné prispôsobiť potrebám jednotlivých detí.</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Kritériá účasti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Účasť na rozhovoroch a skupinových diskusiách je dobrovoľná. Ak má o účasť záujem veľký počet detí, prieskum môžu vyplniť všetky. Ak majú zamestnanci čas pomôcť všetkým deťom zúčastniť sa na diskusiách, úradníci pre posilnenie postavenia detí môžu tiež vybrať niektoré deti, ktoré sa zúčastnia. V tomto prípade sa deti vyberú podľa výberových kritérií platforiem vrátane: </w:t>
      </w:r>
    </w:p>
    <w:p w14:paraId="68C5245E" w14:textId="55261732">
      <w:pPr>
        <w:pStyle w:val="P68B1DB1-ListParagraph6"/>
        <w:numPr>
          <w:ilvl w:val="0"/>
          <w:numId w:val="18"/>
        </w:numPr>
        <w:spacing w:after="0" w:line="240" w:lineRule="auto"/>
      </w:pPr>
      <w:r>
        <w:t>motivácia</w:t>
      </w:r>
    </w:p>
    <w:p w14:paraId="3F3275DD" w14:textId="61DE301B">
      <w:pPr>
        <w:pStyle w:val="P68B1DB1-ListParagraph6"/>
        <w:numPr>
          <w:ilvl w:val="0"/>
          <w:numId w:val="18"/>
        </w:numPr>
        <w:spacing w:after="0" w:line="240" w:lineRule="auto"/>
      </w:pPr>
      <w:r>
        <w:t>dostupnosť</w:t>
      </w:r>
    </w:p>
    <w:p w14:paraId="26725611" w14:textId="624A14CD">
      <w:pPr>
        <w:pStyle w:val="P68B1DB1-ListParagraph6"/>
        <w:numPr>
          <w:ilvl w:val="0"/>
          <w:numId w:val="18"/>
        </w:numPr>
        <w:spacing w:after="0" w:line="240" w:lineRule="auto"/>
      </w:pPr>
      <w:r>
        <w:t xml:space="preserve">rozmanitosť </w:t>
      </w:r>
    </w:p>
    <w:p w14:paraId="0F8F9FC9" w14:textId="00FF2069" w14:noSpellErr="1">
      <w:pPr>
        <w:pStyle w:val="P68B1DB1-ListParagraph6"/>
        <w:numPr>
          <w:ilvl w:val="0"/>
          <w:numId w:val="18"/>
        </w:numPr>
        <w:spacing w:after="0" w:line="240" w:lineRule="auto"/>
      </w:pPr>
      <w:r>
        <w:t xml:space="preserve">Súhlas zákonného zástupcu a sprievodca poskytnutý národnou organizáciou.</w:t>
      </w:r>
    </w:p>
    <w:p w14:paraId="399D9475" w14:textId="0F4CB4DF">
      <w:pPr>
        <w:pStyle w:val="P68B1DB1-ListParagraph6"/>
        <w:numPr>
          <w:ilvl w:val="0"/>
          <w:numId w:val="18"/>
        </w:numPr>
        <w:spacing w:after="0" w:line="240" w:lineRule="auto"/>
      </w:pPr>
      <w:r>
        <w:t>uzávierka</w:t>
      </w:r>
    </w:p>
    <w:p w14:paraId="0C5B8708" w14:textId="29E936C2">
      <w:pPr>
        <w:pStyle w:val="P68B1DB1-ListParagraph6"/>
        <w:numPr>
          <w:ilvl w:val="0"/>
          <w:numId w:val="18"/>
        </w:numPr>
        <w:spacing w:after="0" w:line="240" w:lineRule="auto"/>
      </w:pPr>
      <w:r>
        <w:t xml:space="preserve">Počet detí, ktoré majú záujem zúčastniť sa.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 xml:space="preserve">Kontaktné informácie</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V prípade záujmu o ďalšie informácie </w:t>
      </w:r>
      <w:commentRangeStart w:id="1"/>
      <w:r>
        <w:rPr>
          <w:rFonts w:ascii="Arial" w:hAnsi="Arial" w:cs="Arial" w:eastAsia="Arial"/>
          <w:color w:val="000000" w:themeColor="text1" w:themeTint="FF" w:themeShade="FF"/>
        </w:rPr>
        <w:t xml:space="preserve">sa obráťte na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ktorý vám zaslal tento informačný prehľad. Takisto sa môžete obrátiť na našu </w:t>
      </w:r>
      <w:r>
        <w:rPr>
          <w:rFonts w:ascii="Arial" w:hAnsi="Arial" w:cs="Arial" w:eastAsia="Times New Roman"/>
        </w:rPr>
        <w:t xml:space="preserve">zodpovednú osobu Ariannu Tripodiovú a Roxanu Andreiovú na adrese </w:t>
      </w:r>
      <w:hyperlink r:id="R32bce52149454afd">
        <w:r>
          <w:rPr>
            <w:rStyle w:val="Hyperlink"/>
            <w:rFonts w:ascii="Arial" w:hAnsi="Arial" w:cs="Arial" w:eastAsia="Times New Roman"/>
          </w:rPr>
          <w:t>cppsafeguarding@icf.com</w:t>
        </w:r>
      </w:hyperlink>
      <w:r>
        <w:rPr>
          <w:rFonts w:ascii="Arial" w:hAnsi="Arial" w:cs="Arial" w:eastAsia="Times New Roman"/>
        </w:rPr>
        <w:t xml:space="preserve"> alebo na nášho zástupcu Európskej komisie na adrese </w:t>
      </w:r>
      <w:hyperlink r:id="R95dc035b744748e7">
        <w:r>
          <w:rPr>
            <w:rStyle w:val="Hyperlink"/>
            <w:rFonts w:ascii="Arial" w:hAnsi="Arial" w:cs="Arial" w:eastAsia="Times New Roman"/>
          </w:rPr>
          <w:t>EU-CHILDPARTICIPATION@ec.europa.eu.</w:t>
        </w:r>
      </w:hyperlink>
      <w:r>
        <w:rPr>
          <w:rFonts w:ascii="Arial" w:hAnsi="Arial" w:cs="Arial" w:eastAsia="Times New Roman"/>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súkromie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Keď s nami vaše dieťa komunikuje, môžeme zhromažďovať a spracúvať jeho osobné údaje, ako napríklad: Meno, adresa, e-mailová adresa (adresy), telefónne číslo (čísla), dátum narodenia a prípadne obrázok a hlas. Všetky informácie zhromaždené počas účasti vášho dieťaťa na aktivite budú prísne dôverné.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Osobné údaje vášho dieťaťa nebudeme používať externe bez vášho výslovného súhlasu. Upozorňujeme však, že ak sa vyskytne problém alebo obava týkajúca sa ochrany detí, ktorá si vyžaduje, aby sme kontaktovali príslušné externé organizácie alebo orgány, tieto informácie poskytneme príslušnému kontaktu. Uskutočňuje sa to v súlade so všetkými usmerneniami o ochrane údajov.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Môžeme zhromažďovať nasledujúce informácie, keď s nami dieťa komunikuje. Napríklad, ak nás dieťa kontaktuje alebo sa zúčastňuje na našich aktivitách, poskytne nám osobné údaje explicitne a vedome.</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Informácie o dieťati nezverejníme tretím stranám, pokiaľ:</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je potrebné, aby sa činnosti platformy EÚ pre účasť detí vykonávali v rámci Európskej komisie; alebo</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je to potrebné na ochranu našej organizácie, členov partnerstva a </w:t>
      </w:r>
      <w:hyperlink w:history="1" r:id="rId20">
        <w:r>
          <w:rPr>
            <w:rStyle w:val="Hyperlink"/>
            <w:rFonts w:cs="Arial" w:eastAsia="Arial"/>
            <w:szCs w:val="22"/>
          </w:rPr>
          <w:t>platformy</w:t>
        </w:r>
      </w:hyperlink>
      <w:r>
        <w:rPr>
          <w:rStyle w:val="normaltextrun"/>
          <w:rFonts w:cs="Arial" w:eastAsia="Arial"/>
          <w:color w:val="000000" w:themeColor="text1"/>
          <w:szCs w:val="22"/>
        </w:rPr>
        <w:t xml:space="preserve"> alebo našich príjemcov; alebo</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musí byť chránený pred skutočnou podvodnou činnosťou alebo podozrením z podvodnej činnosti; alebo</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je to potrebné z dôvodov ochrany detí, ak ju potrebujeme poskytnúť príslušným organizáciám alebo orgánom; alebo</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Sme právne zaviazaní tak urobiť; alebo</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Máme váš súhlas.</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Platforma vykonáva opatrenia na zabezpečenie toho, aby sa informácie o dieťati uchovávali v bezpečí, presne a aktuálne len tak dlho, ako je to vhodné a potrebné. Osobné údaje dieťaťa budeme uchovávať len tak dlho, ako je to potrebné na účasť na aktivite, alebo tak dlho, ako to súvisí s našou prácou tým, že sme členom platformy. Po uplynutí tejto lehoty budeme uchovávať informácie len tak dlho, ako to vyžaduje zákon.</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Vo vzťahu k </w:t>
      </w:r>
      <w:hyperlink r:id="rId21">
        <w:r>
          <w:rPr>
            <w:rStyle w:val="Hyperlink"/>
            <w:rFonts w:ascii="Arial" w:hAnsi="Arial" w:cs="Arial" w:eastAsia="Arial"/>
          </w:rPr>
          <w:t xml:space="preserve">údajom dieťaťa odkazujeme na európske všeobecné nariadenie o ochrane údajov,</w:t>
        </w:r>
      </w:hyperlink>
      <w:r>
        <w:rPr>
          <w:rStyle w:val="normaltextrun"/>
          <w:rFonts w:ascii="Arial" w:hAnsi="Arial" w:cs="Arial" w:eastAsia="Arial"/>
          <w:color w:val="000000" w:themeColor="text1"/>
        </w:rPr>
        <w:t xml:space="preserve"> právo platné v Európskej únii. Máte nasledujúce práva:</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požadovať informácie o osobných údajoch, ktoré uchovávame;</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požiadať o kópiu takýchto osobných údajov;</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odvoláte svoj predchádzajúci súhlas so spracúvaním osobných údajov dieťaťa;</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požadovať, aby sme opravili alebo odstránili informácie, ktoré uchovávame;</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požadovať, aby sme určitým spôsobom obmedzili spracúvanie osobných údajov dieťaťa; alebo</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namietať proti konkrétnemu spracúvaniu osobných údajov dieťaťa.</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Tieto práva môžete uplatniť podaním žiadosti. Toto sa nazýva žiadosť o prístup k predmetu. Ak by ste chceli podať jednu z týchto žiadostí, pošlite e-mail na adresu </w:t>
      </w:r>
      <w:hyperlink r:id="Raa46628426084ab3">
        <w:r>
          <w:rPr>
            <w:rStyle w:val="Hyperlink"/>
            <w:rFonts w:ascii="Arial" w:hAnsi="Arial" w:cs="Arial" w:eastAsia="Arial"/>
          </w:rPr>
          <w:t>cppsafeguarding@icf.com.</w:t>
        </w:r>
      </w:hyperlink>
      <w:r>
        <w:rPr>
          <w:rStyle w:val="normaltextrun"/>
          <w:rFonts w:ascii="Arial" w:hAnsi="Arial" w:cs="Arial" w:eastAsia="Arial"/>
          <w:color w:val="000000" w:themeColor="text1" w:themeTint="FF" w:themeShade="FF"/>
        </w:rPr>
        <w:t xml:space="preserve"> Takéto žiadosti spracujeme, pokiaľ neexistuje legitímny dôvod na to, aby sme tak neurobili.</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Platformu môžete kedykoľvek kontaktovať, ak máte akékoľvek otázky týkajúce sa účasti opísanej vyššie.</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Ak sa rozhodnete súhlasiť s účasťou dieťaťa na tejto aktivite (rozhovor a cieľová skupina), zvoľte „Áno“ nižšie.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Upozorňujeme, že všetky nasledujúce polia sú povinné a budete musieť vyplniť príslušné informácie, aby sme mohli plne potvrdiť váš súhlas a povolenie.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 xml:space="preserve">Dohoda o súhlase</w:t>
      </w:r>
      <w:r>
        <w:t xml:space="preserve"> – konzultácie o Európskej záruke pre deti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Som si vedomý(-á), že dieťa, za ktoré som zodpovedný(-á), bolo pozvané, aby sa zúčastnilo na konzultačných činnostiach platformy Európskej záruky pre deti.</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ÁNO</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Chápem, že myšlienky, ktoré zdieľajú deti, sa používajú na napísanie správy.</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ÁNO</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Chápem, že správa nebude obsahovať mená detí, ale ak existujú obavy o bezpečnosť detí, budú hlásené.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ÁNO</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Som šťastná za dieťa, za ktoré som zodpovedná, aby som sa zúčastnila tejto aktivity.</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ÁNO</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Súhlasím so spracúvaním osobných údajov dieťaťa v súlade s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nariadením EÚ (EÚ) 2018/1725.</w:t>
        </w:r>
      </w:hyperlink>
      <w:r>
        <w:rPr>
          <w:rStyle w:val="normaltextrun"/>
          <w:rFonts w:ascii="Arial" w:hAnsi="Arial" w:cs="Arial" w:eastAsia="Arial"/>
          <w:color w:val="000000" w:themeColor="text1"/>
        </w:rPr>
        <w:t xml:space="preserve"> Upozorňujeme, že váš súhlas nezaručuje účasť dieťaťa na aktivite.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ÁNO</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Krstné meno dieťaťa: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Priezvisko dieťaťa: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Krstné meno zákonného zástupcu: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Priezvisko zákonného zástupcu: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E-mailová adresa zákonného zástupcu: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Telefónne číslo zákonného zástupcu:</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Dátum: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Podpis:</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Doplňte podľa potreby</w:t>
      </w:r>
    </w:p>
  </w:comment>
  <w:comment w:initials="BJ" w:author="Barbara Janta" w:date="2024-03-07T16:52:00Z" w:id="1">
    <w:p w14:paraId="0029A064" w14:textId="2867BE86">
      <w:pPr>
        <w:pStyle w:val="CommentText"/>
      </w:pPr>
      <w:r>
        <w:rPr>
          <w:rStyle w:val="CommentReference"/>
        </w:rPr>
        <w:annotationRef/>
      </w:r>
      <w:r>
        <w:t xml:space="preserve">Zadajte svoje meno / meno generálneho riaditeľa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Obrázok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„Zriadenie, riadenie a koordinácia platformy EÚ pre účasť detí“ je zmluva o poskytovaní služieb Európskej únie. Číslo zmluvy: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sk"/>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459B5F7E-18C5-45FA-952A-71C9A63B7842}"/>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